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6C" w:rsidRPr="00657009" w:rsidRDefault="008E076C" w:rsidP="00657009">
      <w:pPr>
        <w:spacing w:after="0" w:line="240" w:lineRule="auto"/>
        <w:jc w:val="center"/>
        <w:rPr>
          <w:rFonts w:ascii="Times New Roman" w:hAnsi="Times New Roman"/>
          <w:sz w:val="24"/>
          <w:szCs w:val="24"/>
        </w:rPr>
      </w:pPr>
    </w:p>
    <w:p w:rsidR="007D1E76" w:rsidRPr="00E74967" w:rsidRDefault="006B1D34"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A50162" w:rsidRDefault="007D1E76" w:rsidP="007D1E76">
      <w:pPr>
        <w:spacing w:after="0" w:line="240" w:lineRule="auto"/>
        <w:jc w:val="both"/>
        <w:rPr>
          <w:rFonts w:cs="Calibri"/>
        </w:rPr>
      </w:pPr>
      <w:r w:rsidRPr="00A50162">
        <w:rPr>
          <w:rFonts w:cs="Calibri"/>
          <w:b/>
        </w:rPr>
        <w:t>1. Introducción:</w:t>
      </w:r>
    </w:p>
    <w:p w:rsidR="007D1E76" w:rsidRPr="00A50162" w:rsidRDefault="007D1E76" w:rsidP="007D1E76">
      <w:pPr>
        <w:spacing w:after="0" w:line="240" w:lineRule="auto"/>
        <w:jc w:val="both"/>
        <w:rPr>
          <w:rFonts w:cs="Calibri"/>
        </w:rPr>
      </w:pPr>
      <w:r w:rsidRPr="00A50162">
        <w:rPr>
          <w:rFonts w:cs="Calibri"/>
        </w:rPr>
        <w:t>Breve descripción de las actividades principales de la entidad.</w:t>
      </w:r>
    </w:p>
    <w:p w:rsidR="00A50162" w:rsidRPr="00A50162" w:rsidRDefault="00A50162" w:rsidP="007D1E76">
      <w:pPr>
        <w:spacing w:after="0" w:line="240" w:lineRule="auto"/>
        <w:jc w:val="both"/>
        <w:rPr>
          <w:rFonts w:cs="Calibri"/>
        </w:rPr>
      </w:pPr>
    </w:p>
    <w:p w:rsidR="00A50162" w:rsidRPr="00A50162" w:rsidRDefault="00A50162" w:rsidP="00A50162">
      <w:pPr>
        <w:pStyle w:val="Prrafodelista"/>
        <w:numPr>
          <w:ilvl w:val="0"/>
          <w:numId w:val="2"/>
        </w:numPr>
        <w:jc w:val="both"/>
        <w:rPr>
          <w:rFonts w:asciiTheme="minorHAnsi" w:hAnsiTheme="minorHAnsi" w:cs="Arial"/>
        </w:rPr>
      </w:pPr>
      <w:r w:rsidRPr="00A50162">
        <w:rPr>
          <w:rFonts w:asciiTheme="minorHAnsi" w:hAnsiTheme="minorHAnsi" w:cs="Arial"/>
        </w:rPr>
        <w:t>Conocer y resolver los medios de impugnación interpuestos por los particulares (Recursos de:</w:t>
      </w:r>
      <w:r w:rsidRPr="00A50162">
        <w:rPr>
          <w:rFonts w:asciiTheme="minorHAnsi" w:hAnsiTheme="minorHAnsi"/>
        </w:rPr>
        <w:t xml:space="preserve"> Revocación</w:t>
      </w:r>
      <w:r w:rsidRPr="00A50162">
        <w:rPr>
          <w:rFonts w:asciiTheme="minorHAnsi" w:hAnsiTheme="minorHAnsi" w:cs="Arial"/>
        </w:rPr>
        <w:t xml:space="preserve"> y Queja).</w:t>
      </w:r>
    </w:p>
    <w:p w:rsidR="00A50162" w:rsidRPr="00A50162" w:rsidRDefault="00A50162" w:rsidP="00A50162">
      <w:pPr>
        <w:numPr>
          <w:ilvl w:val="0"/>
          <w:numId w:val="2"/>
        </w:numPr>
        <w:overflowPunct w:val="0"/>
        <w:autoSpaceDE w:val="0"/>
        <w:autoSpaceDN w:val="0"/>
        <w:adjustRightInd w:val="0"/>
        <w:spacing w:after="360" w:line="240" w:lineRule="auto"/>
        <w:ind w:hanging="181"/>
        <w:jc w:val="both"/>
        <w:rPr>
          <w:rFonts w:asciiTheme="minorHAnsi" w:hAnsiTheme="minorHAnsi" w:cs="Arial"/>
        </w:rPr>
      </w:pPr>
      <w:r w:rsidRPr="00A50162">
        <w:rPr>
          <w:rFonts w:asciiTheme="minorHAnsi" w:hAnsiTheme="minorHAnsi" w:cs="Arial"/>
        </w:rPr>
        <w:t>Promover en la sociedad el conocimiento, uso y aprovechamiento de la información pública, así como la capacitación y actualización de los servidores públicos en la cultura de acceso a la información pública y protección de datos personales, a través de cursos, seminarios, talleres y cualquier otra forma de enseñanza y entrenamiento que se considere pertinente.</w:t>
      </w:r>
    </w:p>
    <w:p w:rsidR="00A50162" w:rsidRPr="00A50162" w:rsidRDefault="00A50162" w:rsidP="00A50162">
      <w:pPr>
        <w:numPr>
          <w:ilvl w:val="0"/>
          <w:numId w:val="2"/>
        </w:numPr>
        <w:overflowPunct w:val="0"/>
        <w:autoSpaceDE w:val="0"/>
        <w:autoSpaceDN w:val="0"/>
        <w:adjustRightInd w:val="0"/>
        <w:spacing w:after="360" w:line="240" w:lineRule="auto"/>
        <w:ind w:hanging="181"/>
        <w:jc w:val="both"/>
        <w:rPr>
          <w:rFonts w:asciiTheme="minorHAnsi" w:hAnsiTheme="minorHAnsi" w:cs="Arial"/>
        </w:rPr>
      </w:pPr>
      <w:r w:rsidRPr="00A50162">
        <w:rPr>
          <w:rFonts w:asciiTheme="minorHAnsi" w:hAnsiTheme="minorHAnsi" w:cs="Arial"/>
        </w:rPr>
        <w:t>Diseñar, realizar y evaluar, las campañas y estrategias para difundir y ampliar en la sociedad el conocimiento del derecho de acceso a la información pública y de protección de datos personales.</w:t>
      </w:r>
    </w:p>
    <w:p w:rsidR="00A50162" w:rsidRPr="00A50162" w:rsidRDefault="00A50162" w:rsidP="00A50162">
      <w:pPr>
        <w:numPr>
          <w:ilvl w:val="0"/>
          <w:numId w:val="2"/>
        </w:numPr>
        <w:overflowPunct w:val="0"/>
        <w:autoSpaceDE w:val="0"/>
        <w:autoSpaceDN w:val="0"/>
        <w:adjustRightInd w:val="0"/>
        <w:spacing w:after="198" w:line="240" w:lineRule="auto"/>
        <w:jc w:val="both"/>
        <w:rPr>
          <w:rFonts w:asciiTheme="minorHAnsi" w:hAnsiTheme="minorHAnsi" w:cs="Arial"/>
        </w:rPr>
      </w:pPr>
      <w:r w:rsidRPr="00A50162">
        <w:rPr>
          <w:rFonts w:asciiTheme="minorHAnsi" w:hAnsiTheme="minorHAnsi" w:cs="Arial"/>
        </w:rPr>
        <w:t>Impulsar, conjuntamente con instituciones de educación superior, la investigación, difusión y docencia sobre el derecho de acceso a la información pública que promueva la sociabilización de conocimientos sobre el tema.</w:t>
      </w:r>
    </w:p>
    <w:p w:rsidR="00A50162" w:rsidRPr="00A50162" w:rsidRDefault="00A50162" w:rsidP="00A50162">
      <w:pPr>
        <w:numPr>
          <w:ilvl w:val="0"/>
          <w:numId w:val="2"/>
        </w:numPr>
        <w:overflowPunct w:val="0"/>
        <w:autoSpaceDE w:val="0"/>
        <w:autoSpaceDN w:val="0"/>
        <w:adjustRightInd w:val="0"/>
        <w:spacing w:after="198" w:line="240" w:lineRule="auto"/>
        <w:jc w:val="both"/>
        <w:rPr>
          <w:rFonts w:ascii="Arial monospaced for SAP" w:hAnsi="Arial monospaced for SAP" w:cs="Arial"/>
          <w:sz w:val="20"/>
          <w:szCs w:val="20"/>
        </w:rPr>
      </w:pPr>
      <w:r w:rsidRPr="00A50162">
        <w:rPr>
          <w:rFonts w:asciiTheme="minorHAnsi" w:hAnsiTheme="minorHAnsi" w:cs="Arial"/>
        </w:rPr>
        <w:t>Difundir entre los servidores públicos los beneficios del manejo público de la información, así como sus responsabilidades en el buen uso, protección y conservación de ésta</w:t>
      </w:r>
      <w:r w:rsidRPr="00A50162">
        <w:rPr>
          <w:rFonts w:ascii="Arial monospaced for SAP" w:hAnsi="Arial monospaced for SAP" w:cs="Arial"/>
          <w:sz w:val="20"/>
          <w:szCs w:val="20"/>
        </w:rPr>
        <w:t>.</w:t>
      </w:r>
    </w:p>
    <w:p w:rsidR="00CE7D74" w:rsidRPr="00772C92" w:rsidRDefault="00CE7D74" w:rsidP="00CE7D74">
      <w:pPr>
        <w:overflowPunct w:val="0"/>
        <w:autoSpaceDE w:val="0"/>
        <w:autoSpaceDN w:val="0"/>
        <w:adjustRightInd w:val="0"/>
        <w:spacing w:after="198" w:line="240" w:lineRule="auto"/>
        <w:ind w:left="181"/>
        <w:jc w:val="both"/>
        <w:rPr>
          <w:rFonts w:ascii="Arial monospaced for SAP" w:hAnsi="Arial monospaced for SAP" w:cs="Arial"/>
          <w:sz w:val="20"/>
          <w:szCs w:val="20"/>
          <w:highlight w:val="yellow"/>
        </w:rPr>
      </w:pPr>
    </w:p>
    <w:p w:rsidR="007D1E76" w:rsidRPr="002F30BB" w:rsidRDefault="007D1E76" w:rsidP="007D1E76">
      <w:pPr>
        <w:spacing w:after="0" w:line="240" w:lineRule="auto"/>
        <w:jc w:val="both"/>
        <w:rPr>
          <w:rFonts w:cs="Calibri"/>
          <w:b/>
        </w:rPr>
      </w:pPr>
      <w:r w:rsidRPr="002F30BB">
        <w:rPr>
          <w:rFonts w:cs="Calibri"/>
          <w:b/>
        </w:rPr>
        <w:t>2. Describir el pan</w:t>
      </w:r>
      <w:r w:rsidR="00E00323" w:rsidRPr="002F30BB">
        <w:rPr>
          <w:rFonts w:cs="Calibri"/>
          <w:b/>
        </w:rPr>
        <w:t>orama Económico y Financiero:</w:t>
      </w:r>
    </w:p>
    <w:p w:rsidR="007D1E76" w:rsidRPr="002F30BB" w:rsidRDefault="007D1E76" w:rsidP="007D1E76">
      <w:pPr>
        <w:spacing w:after="0" w:line="240" w:lineRule="auto"/>
        <w:jc w:val="both"/>
        <w:rPr>
          <w:rFonts w:cs="Calibri"/>
        </w:rPr>
      </w:pPr>
    </w:p>
    <w:p w:rsidR="007D1E76" w:rsidRPr="002F30BB" w:rsidRDefault="007D1E76" w:rsidP="007D1E76">
      <w:pPr>
        <w:spacing w:after="0" w:line="240" w:lineRule="auto"/>
        <w:jc w:val="both"/>
        <w:rPr>
          <w:rFonts w:cs="Calibri"/>
        </w:rPr>
      </w:pPr>
      <w:r w:rsidRPr="002F30BB">
        <w:rPr>
          <w:rFonts w:cs="Calibri"/>
        </w:rPr>
        <w:t>Se informará sobre las principales condiciones económico-financieras bajo las cuales el ente público estuvo operando; y las cuales influyeron en la toma de decisiones de la administración; tanto</w:t>
      </w:r>
      <w:r w:rsidR="00E00323" w:rsidRPr="002F30BB">
        <w:rPr>
          <w:rFonts w:cs="Calibri"/>
        </w:rPr>
        <w:t xml:space="preserve"> a nivel local como federal.</w:t>
      </w:r>
    </w:p>
    <w:p w:rsidR="007D1E76" w:rsidRDefault="002F30BB" w:rsidP="007D1E76">
      <w:pPr>
        <w:spacing w:after="0" w:line="240" w:lineRule="auto"/>
        <w:jc w:val="both"/>
        <w:rPr>
          <w:rFonts w:cs="Calibri"/>
        </w:rPr>
      </w:pPr>
      <w:r w:rsidRPr="002F30BB">
        <w:rPr>
          <w:rFonts w:cs="Calibri"/>
        </w:rPr>
        <w:t>No aplica.</w:t>
      </w:r>
    </w:p>
    <w:p w:rsidR="00A50162" w:rsidRPr="002F30BB" w:rsidRDefault="00A50162" w:rsidP="007D1E76">
      <w:pPr>
        <w:spacing w:after="0" w:line="240" w:lineRule="auto"/>
        <w:jc w:val="both"/>
        <w:rPr>
          <w:rFonts w:cs="Calibri"/>
        </w:rPr>
      </w:pPr>
    </w:p>
    <w:p w:rsidR="007D1E76" w:rsidRPr="00772C92" w:rsidRDefault="007D1E76" w:rsidP="007D1E76">
      <w:pPr>
        <w:spacing w:after="0" w:line="240" w:lineRule="auto"/>
        <w:jc w:val="both"/>
        <w:rPr>
          <w:rFonts w:cs="Calibri"/>
          <w:highlight w:val="yellow"/>
        </w:rPr>
      </w:pPr>
    </w:p>
    <w:p w:rsidR="007D1E76" w:rsidRPr="00A50162" w:rsidRDefault="007D1E76" w:rsidP="007D1E76">
      <w:pPr>
        <w:spacing w:after="0" w:line="240" w:lineRule="auto"/>
        <w:jc w:val="both"/>
        <w:rPr>
          <w:rFonts w:cs="Calibri"/>
          <w:b/>
        </w:rPr>
      </w:pPr>
      <w:r w:rsidRPr="00A50162">
        <w:rPr>
          <w:rFonts w:cs="Calibri"/>
          <w:b/>
        </w:rPr>
        <w:lastRenderedPageBreak/>
        <w:t>3. Autoriza</w:t>
      </w:r>
      <w:r w:rsidR="00E00323" w:rsidRPr="00A50162">
        <w:rPr>
          <w:rFonts w:cs="Calibri"/>
          <w:b/>
        </w:rPr>
        <w:t>ción e Historia:</w:t>
      </w:r>
    </w:p>
    <w:p w:rsidR="007D1E76" w:rsidRPr="00A50162" w:rsidRDefault="007D1E76" w:rsidP="007D1E76">
      <w:pPr>
        <w:spacing w:after="0" w:line="240" w:lineRule="auto"/>
        <w:jc w:val="both"/>
        <w:rPr>
          <w:rFonts w:cs="Calibri"/>
        </w:rPr>
      </w:pPr>
    </w:p>
    <w:p w:rsidR="00772C92" w:rsidRPr="00A50162" w:rsidRDefault="00772C92" w:rsidP="00772C92">
      <w:pPr>
        <w:spacing w:after="0" w:line="240" w:lineRule="auto"/>
        <w:jc w:val="both"/>
        <w:rPr>
          <w:rFonts w:asciiTheme="minorHAnsi" w:hAnsiTheme="minorHAnsi" w:cs="Calibri"/>
        </w:rPr>
      </w:pPr>
      <w:r w:rsidRPr="00A50162">
        <w:rPr>
          <w:rFonts w:asciiTheme="minorHAnsi" w:hAnsiTheme="minorHAnsi" w:cs="Calibri"/>
        </w:rPr>
        <w:t>Se informará sobre:</w:t>
      </w:r>
    </w:p>
    <w:p w:rsidR="00772C92" w:rsidRPr="00A50162" w:rsidRDefault="00772C92" w:rsidP="00772C92">
      <w:pPr>
        <w:spacing w:after="0" w:line="240" w:lineRule="auto"/>
        <w:jc w:val="both"/>
        <w:rPr>
          <w:rFonts w:asciiTheme="minorHAnsi" w:hAnsiTheme="minorHAnsi" w:cs="Calibri"/>
        </w:rPr>
      </w:pPr>
    </w:p>
    <w:p w:rsidR="00A50162" w:rsidRPr="00A50162" w:rsidRDefault="00A50162" w:rsidP="00963B7E">
      <w:pPr>
        <w:numPr>
          <w:ilvl w:val="0"/>
          <w:numId w:val="3"/>
        </w:numPr>
        <w:spacing w:after="0" w:line="240" w:lineRule="auto"/>
        <w:jc w:val="both"/>
        <w:rPr>
          <w:rFonts w:asciiTheme="minorHAnsi" w:hAnsiTheme="minorHAnsi" w:cs="Calibri"/>
        </w:rPr>
      </w:pPr>
      <w:r w:rsidRPr="00A50162">
        <w:rPr>
          <w:rFonts w:asciiTheme="minorHAnsi" w:hAnsiTheme="minorHAnsi" w:cs="Calibri"/>
        </w:rPr>
        <w:t>Fecha de creación del ente.</w:t>
      </w:r>
    </w:p>
    <w:p w:rsidR="00A50162" w:rsidRPr="00A50162" w:rsidRDefault="00A50162" w:rsidP="00963B7E">
      <w:pPr>
        <w:spacing w:after="0" w:line="240" w:lineRule="auto"/>
        <w:jc w:val="both"/>
        <w:rPr>
          <w:rFonts w:asciiTheme="minorHAnsi" w:hAnsiTheme="minorHAnsi" w:cs="Calibri"/>
        </w:rPr>
      </w:pPr>
    </w:p>
    <w:p w:rsidR="00A50162" w:rsidRPr="00A50162" w:rsidRDefault="00A50162" w:rsidP="00963B7E">
      <w:pPr>
        <w:jc w:val="both"/>
        <w:rPr>
          <w:rFonts w:asciiTheme="minorHAnsi" w:hAnsiTheme="minorHAnsi"/>
        </w:rPr>
      </w:pPr>
      <w:r w:rsidRPr="00A50162">
        <w:rPr>
          <w:rFonts w:asciiTheme="minorHAnsi" w:hAnsiTheme="minorHAnsi"/>
        </w:rPr>
        <w:t>El Instituto de Acceso a la Información pública fue creado el 29 de julio del 2003, mediante la publicación de la Ley de Acceso a la Información Pública para el Estado y los Municipios de Guanajuato, publicado en el periódico oficial del Gobierno del Estado de Guanajuato número 120 segunda parte.</w:t>
      </w:r>
    </w:p>
    <w:p w:rsidR="00A50162" w:rsidRPr="00A50162" w:rsidRDefault="00A50162" w:rsidP="00963B7E">
      <w:pPr>
        <w:jc w:val="both"/>
        <w:rPr>
          <w:rFonts w:asciiTheme="minorHAnsi" w:hAnsiTheme="minorHAnsi"/>
        </w:rPr>
      </w:pPr>
      <w:r w:rsidRPr="00A50162">
        <w:rPr>
          <w:rFonts w:asciiTheme="minorHAnsi" w:hAnsiTheme="minorHAnsi"/>
        </w:rPr>
        <w:t xml:space="preserve">El Instituto de Acceso a la Información Pública para el Estado de Guanajuato fue reformado el 06 de Diciembre del 2013, mediante la publicación del Decreto número 100 expedido por la Sexagésima Segunda Legislatura Constitucional del Estado libre y soberano de Guanajuato, mediante el cual, se reformo el artículo 14 de la Constitución Política para el Estado de Guanajuato, el cual establece en su BASE PRIMERA que el Instituto es un Organismo Autónomo especializado e imparcial, responsable de garantizar el cumplimiento del Derecho de Acceso a la Información Pública y a la Protección de Datos Personales en los términos que establezca la Ley. Contando con personalidad jurídica y patrimonio propios, así como plena </w:t>
      </w:r>
      <w:r w:rsidRPr="00A50162">
        <w:rPr>
          <w:rFonts w:asciiTheme="minorHAnsi" w:hAnsiTheme="minorHAnsi"/>
          <w:b/>
        </w:rPr>
        <w:t xml:space="preserve">Autonomía Técnica, </w:t>
      </w:r>
      <w:r w:rsidRPr="00A50162">
        <w:rPr>
          <w:rFonts w:asciiTheme="minorHAnsi" w:hAnsiTheme="minorHAnsi"/>
        </w:rPr>
        <w:t>de gestión, para proponer su proyecto de presupuesto y determinar su organización interna.</w:t>
      </w:r>
    </w:p>
    <w:p w:rsidR="00A50162" w:rsidRPr="00A50162" w:rsidRDefault="00A50162" w:rsidP="00963B7E">
      <w:pPr>
        <w:numPr>
          <w:ilvl w:val="0"/>
          <w:numId w:val="3"/>
        </w:numPr>
        <w:spacing w:after="0" w:line="240" w:lineRule="auto"/>
        <w:jc w:val="both"/>
        <w:rPr>
          <w:rFonts w:asciiTheme="minorHAnsi" w:hAnsiTheme="minorHAnsi" w:cs="Calibri"/>
        </w:rPr>
      </w:pPr>
      <w:r w:rsidRPr="00A50162">
        <w:rPr>
          <w:rFonts w:asciiTheme="minorHAnsi" w:hAnsiTheme="minorHAnsi" w:cs="Calibri"/>
        </w:rPr>
        <w:t>Principales cambios en su estructura (interna históricamente).</w:t>
      </w:r>
    </w:p>
    <w:p w:rsidR="00A50162" w:rsidRPr="00A50162" w:rsidRDefault="00A50162" w:rsidP="00963B7E">
      <w:pPr>
        <w:spacing w:after="0" w:line="240" w:lineRule="auto"/>
        <w:ind w:left="720"/>
        <w:jc w:val="both"/>
        <w:rPr>
          <w:rFonts w:asciiTheme="minorHAnsi" w:hAnsiTheme="minorHAnsi" w:cs="Calibri"/>
        </w:rPr>
      </w:pPr>
    </w:p>
    <w:p w:rsidR="00A50162" w:rsidRPr="00A50162" w:rsidRDefault="00A50162" w:rsidP="00963B7E">
      <w:pPr>
        <w:jc w:val="center"/>
        <w:rPr>
          <w:rFonts w:asciiTheme="minorHAnsi" w:hAnsiTheme="minorHAnsi"/>
          <w:b/>
        </w:rPr>
      </w:pPr>
      <w:r w:rsidRPr="00A50162">
        <w:rPr>
          <w:rFonts w:asciiTheme="minorHAnsi" w:hAnsiTheme="minorHAnsi"/>
          <w:b/>
        </w:rPr>
        <w:t>Principales cambios en su estructura (interna históricamente)</w:t>
      </w:r>
    </w:p>
    <w:p w:rsidR="00A50162" w:rsidRPr="00A50162" w:rsidRDefault="00A50162" w:rsidP="00A50162">
      <w:pPr>
        <w:jc w:val="both"/>
        <w:rPr>
          <w:rFonts w:asciiTheme="minorHAnsi" w:hAnsiTheme="minorHAnsi"/>
        </w:rPr>
      </w:pPr>
      <w:r w:rsidRPr="00A50162">
        <w:rPr>
          <w:rFonts w:asciiTheme="minorHAnsi" w:hAnsiTheme="minorHAnsi"/>
        </w:rPr>
        <w:t xml:space="preserve">Desde la creación del Instituto del 29 de julio del </w:t>
      </w:r>
      <w:smartTag w:uri="urn:schemas-microsoft-com:office:smarttags" w:element="metricconverter">
        <w:smartTagPr>
          <w:attr w:name="ProductID" w:val="2003 a"/>
        </w:smartTagPr>
        <w:r w:rsidRPr="00A50162">
          <w:rPr>
            <w:rFonts w:asciiTheme="minorHAnsi" w:hAnsiTheme="minorHAnsi"/>
          </w:rPr>
          <w:t>2003 a</w:t>
        </w:r>
      </w:smartTag>
      <w:r w:rsidRPr="00A50162">
        <w:rPr>
          <w:rFonts w:asciiTheme="minorHAnsi" w:hAnsiTheme="minorHAnsi"/>
        </w:rPr>
        <w:t xml:space="preserve"> la fecha en Reglamento Interior del Instituto publicado el 20 de agosto del 2004, y el Reglamento Interior del Instituto de Acceso a la Información Pública del Estado de Guanajuato (Periódico Oficial número 89 segunda parte, del 04 de junio del 2010). La penúltima actualización del reglamento fue publicada en el Periódico Oficial número 58 tercera parte, del 11 de abril del 2014. La última actualización de la estructura del Instituto fue mediante la reforma Constitucional de fecha 15 de diciembre del 2015 publicada en el Periódico Oficial número 198 séptima parte, Estructura es la siguiente: </w:t>
      </w:r>
    </w:p>
    <w:tbl>
      <w:tblPr>
        <w:tblW w:w="5000" w:type="pct"/>
        <w:tblCellMar>
          <w:left w:w="70" w:type="dxa"/>
          <w:right w:w="70" w:type="dxa"/>
        </w:tblCellMar>
        <w:tblLook w:val="0000"/>
      </w:tblPr>
      <w:tblGrid>
        <w:gridCol w:w="5219"/>
        <w:gridCol w:w="4609"/>
      </w:tblGrid>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A50162" w:rsidRPr="00A50162" w:rsidRDefault="00A50162" w:rsidP="00A50162">
            <w:pPr>
              <w:autoSpaceDE w:val="0"/>
              <w:autoSpaceDN w:val="0"/>
              <w:adjustRightInd w:val="0"/>
              <w:spacing w:after="0"/>
              <w:jc w:val="center"/>
              <w:rPr>
                <w:rFonts w:asciiTheme="minorHAnsi" w:hAnsiTheme="minorHAnsi" w:cs="Arial"/>
                <w:b/>
                <w:bCs/>
                <w:color w:val="000000"/>
                <w:lang w:eastAsia="es-MX"/>
              </w:rPr>
            </w:pPr>
            <w:r w:rsidRPr="00A50162">
              <w:rPr>
                <w:rFonts w:asciiTheme="minorHAnsi" w:hAnsiTheme="minorHAnsi" w:cs="Arial"/>
                <w:b/>
                <w:bCs/>
                <w:color w:val="000000"/>
                <w:lang w:eastAsia="es-MX"/>
              </w:rPr>
              <w:t>ESTRUCTURA</w:t>
            </w:r>
          </w:p>
        </w:tc>
        <w:tc>
          <w:tcPr>
            <w:tcW w:w="2345"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A50162" w:rsidRPr="00A50162" w:rsidRDefault="00A50162" w:rsidP="00A50162">
            <w:pPr>
              <w:autoSpaceDE w:val="0"/>
              <w:autoSpaceDN w:val="0"/>
              <w:adjustRightInd w:val="0"/>
              <w:spacing w:after="0"/>
              <w:jc w:val="center"/>
              <w:rPr>
                <w:rFonts w:asciiTheme="minorHAnsi" w:hAnsiTheme="minorHAnsi" w:cs="Arial"/>
                <w:b/>
                <w:bCs/>
                <w:color w:val="000000"/>
                <w:lang w:eastAsia="es-MX"/>
              </w:rPr>
            </w:pPr>
            <w:r w:rsidRPr="00A50162">
              <w:rPr>
                <w:rFonts w:asciiTheme="minorHAnsi" w:hAnsiTheme="minorHAnsi" w:cs="Arial"/>
                <w:b/>
                <w:bCs/>
                <w:color w:val="000000"/>
                <w:lang w:eastAsia="es-MX"/>
              </w:rPr>
              <w:t>OBSERVACIONES</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vAlign w:val="center"/>
          </w:tcPr>
          <w:p w:rsidR="00A50162" w:rsidRPr="00A50162" w:rsidRDefault="00A50162" w:rsidP="00A50162">
            <w:pPr>
              <w:autoSpaceDE w:val="0"/>
              <w:autoSpaceDN w:val="0"/>
              <w:adjustRightInd w:val="0"/>
              <w:spacing w:after="0"/>
              <w:rPr>
                <w:rFonts w:asciiTheme="minorHAnsi" w:hAnsiTheme="minorHAnsi" w:cs="Arial"/>
                <w:color w:val="000000"/>
                <w:lang w:eastAsia="es-MX"/>
              </w:rPr>
            </w:pPr>
            <w:r w:rsidRPr="00A50162">
              <w:rPr>
                <w:rFonts w:asciiTheme="minorHAnsi" w:hAnsiTheme="minorHAnsi" w:cs="Arial"/>
                <w:color w:val="000000"/>
                <w:lang w:eastAsia="es-MX"/>
              </w:rPr>
              <w:t>CONSEJERO GENERAL</w:t>
            </w:r>
          </w:p>
        </w:tc>
        <w:tc>
          <w:tcPr>
            <w:tcW w:w="2345" w:type="pct"/>
            <w:tcBorders>
              <w:top w:val="single" w:sz="6" w:space="0" w:color="000000"/>
              <w:left w:val="single" w:sz="6" w:space="0" w:color="000000"/>
              <w:bottom w:val="single" w:sz="6" w:space="0" w:color="000000"/>
              <w:right w:val="single" w:sz="6" w:space="0" w:color="000000"/>
            </w:tcBorders>
            <w:vAlign w:val="center"/>
          </w:tcPr>
          <w:p w:rsidR="00A50162" w:rsidRPr="00A50162" w:rsidRDefault="00A50162" w:rsidP="00A50162">
            <w:pPr>
              <w:autoSpaceDE w:val="0"/>
              <w:autoSpaceDN w:val="0"/>
              <w:adjustRightInd w:val="0"/>
              <w:spacing w:after="0"/>
              <w:jc w:val="both"/>
              <w:rPr>
                <w:rFonts w:asciiTheme="minorHAnsi" w:hAnsiTheme="minorHAnsi" w:cs="Arial"/>
                <w:color w:val="000000"/>
                <w:lang w:eastAsia="es-MX"/>
              </w:rPr>
            </w:pPr>
            <w:r w:rsidRPr="00A50162">
              <w:rPr>
                <w:rFonts w:asciiTheme="minorHAnsi" w:hAnsiTheme="minorHAnsi" w:cs="Arial"/>
                <w:color w:val="000000"/>
                <w:lang w:eastAsia="es-MX"/>
              </w:rPr>
              <w:t>Con la reforma a la Constitución Política para el Estado de Guanajuato, en fecha 15 de diciembre del año 2015, se cambia la denominación de Consejeros a Comisionados, de igual forma el número de integrantes de 4 a 3.</w:t>
            </w:r>
          </w:p>
          <w:p w:rsidR="00A50162" w:rsidRPr="00A50162" w:rsidRDefault="00A50162" w:rsidP="00A50162">
            <w:pPr>
              <w:autoSpaceDE w:val="0"/>
              <w:autoSpaceDN w:val="0"/>
              <w:adjustRightInd w:val="0"/>
              <w:spacing w:after="0"/>
              <w:jc w:val="both"/>
              <w:rPr>
                <w:rFonts w:asciiTheme="minorHAnsi" w:hAnsiTheme="minorHAnsi" w:cs="Arial"/>
                <w:color w:val="000000"/>
                <w:lang w:eastAsia="es-MX"/>
              </w:rPr>
            </w:pPr>
            <w:r w:rsidRPr="00A50162">
              <w:rPr>
                <w:rFonts w:asciiTheme="minorHAnsi" w:hAnsiTheme="minorHAnsi" w:cs="Arial"/>
                <w:color w:val="000000"/>
                <w:lang w:eastAsia="es-MX"/>
              </w:rPr>
              <w:t>Uno de los Comisionados asume anualmente la función de Comisionado Presidente.</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vAlign w:val="center"/>
          </w:tcPr>
          <w:p w:rsidR="00A50162" w:rsidRPr="00A50162" w:rsidRDefault="00A50162" w:rsidP="00A50162">
            <w:pPr>
              <w:autoSpaceDE w:val="0"/>
              <w:autoSpaceDN w:val="0"/>
              <w:adjustRightInd w:val="0"/>
              <w:spacing w:after="0"/>
              <w:rPr>
                <w:rFonts w:asciiTheme="minorHAnsi" w:hAnsiTheme="minorHAnsi" w:cs="Arial"/>
                <w:color w:val="000000"/>
                <w:lang w:eastAsia="es-MX"/>
              </w:rPr>
            </w:pPr>
            <w:r w:rsidRPr="00A50162">
              <w:rPr>
                <w:rFonts w:asciiTheme="minorHAnsi" w:hAnsiTheme="minorHAnsi" w:cs="Arial"/>
                <w:color w:val="000000"/>
                <w:lang w:eastAsia="es-MX"/>
              </w:rPr>
              <w:t>ANALISTAS DE INFORMACIÓN Y JEFE DE DEPARTAMENTO “A”</w:t>
            </w:r>
          </w:p>
        </w:tc>
        <w:tc>
          <w:tcPr>
            <w:tcW w:w="2345" w:type="pct"/>
            <w:tcBorders>
              <w:top w:val="single" w:sz="6" w:space="0" w:color="000000"/>
              <w:left w:val="single" w:sz="6" w:space="0" w:color="000000"/>
              <w:bottom w:val="single" w:sz="6" w:space="0" w:color="000000"/>
              <w:right w:val="single" w:sz="6" w:space="0" w:color="000000"/>
            </w:tcBorders>
            <w:vAlign w:val="center"/>
          </w:tcPr>
          <w:p w:rsidR="00A50162" w:rsidRPr="00A50162" w:rsidRDefault="00A50162" w:rsidP="00A50162">
            <w:pPr>
              <w:autoSpaceDE w:val="0"/>
              <w:autoSpaceDN w:val="0"/>
              <w:adjustRightInd w:val="0"/>
              <w:spacing w:after="0"/>
              <w:jc w:val="both"/>
              <w:rPr>
                <w:rFonts w:asciiTheme="minorHAnsi" w:hAnsiTheme="minorHAnsi" w:cs="Arial"/>
                <w:color w:val="000000"/>
                <w:lang w:eastAsia="es-MX"/>
              </w:rPr>
            </w:pPr>
            <w:r w:rsidRPr="00A50162">
              <w:rPr>
                <w:rFonts w:asciiTheme="minorHAnsi" w:hAnsiTheme="minorHAnsi" w:cs="Arial"/>
              </w:rPr>
              <w:t>El Consejo cuenta con 8 Analistas de Información y Jefe de Departamento “A”, además de 1 plaza de Secretario General, 1 Actuario, 1 Oficialía de Partes y 5 Auxiliares Administrativos.</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bCs/>
                <w:color w:val="000000"/>
                <w:lang w:eastAsia="es-MX"/>
              </w:rPr>
            </w:pPr>
            <w:r w:rsidRPr="00A50162">
              <w:rPr>
                <w:rFonts w:asciiTheme="minorHAnsi" w:hAnsiTheme="minorHAnsi" w:cs="Arial"/>
                <w:bCs/>
                <w:color w:val="000000"/>
                <w:lang w:eastAsia="es-MX"/>
              </w:rPr>
              <w:lastRenderedPageBreak/>
              <w:t>CONTRALOR</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Cs/>
                <w:color w:val="000000"/>
                <w:lang w:eastAsia="es-MX"/>
              </w:rPr>
            </w:pPr>
            <w:r w:rsidRPr="00A50162">
              <w:rPr>
                <w:rFonts w:asciiTheme="minorHAnsi" w:hAnsiTheme="minorHAnsi" w:cs="Arial"/>
                <w:bCs/>
                <w:color w:val="000000"/>
                <w:lang w:eastAsia="es-MX"/>
              </w:rPr>
              <w:t>Cuenta con 1 jefe de Departamento “C”.</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color w:val="000000"/>
                <w:lang w:eastAsia="es-MX"/>
              </w:rPr>
            </w:pPr>
            <w:r w:rsidRPr="00A50162">
              <w:rPr>
                <w:rFonts w:asciiTheme="minorHAnsi" w:hAnsiTheme="minorHAnsi" w:cs="Arial"/>
                <w:color w:val="000000"/>
                <w:lang w:eastAsia="es-MX"/>
              </w:rPr>
              <w:t>SECRETARIO TECNICO</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color w:val="000000"/>
                <w:lang w:eastAsia="es-MX"/>
              </w:rPr>
            </w:pPr>
            <w:r w:rsidRPr="00A50162">
              <w:rPr>
                <w:rFonts w:asciiTheme="minorHAnsi" w:hAnsiTheme="minorHAnsi" w:cs="Arial"/>
                <w:color w:val="000000"/>
                <w:lang w:eastAsia="es-MX"/>
              </w:rPr>
              <w:t>Tiene 1 Especialista de Servicios y el siguiente personal a sus cargo:</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bCs/>
                <w:color w:val="000000"/>
                <w:lang w:eastAsia="es-MX"/>
              </w:rPr>
            </w:pPr>
            <w:r w:rsidRPr="00A50162">
              <w:rPr>
                <w:rFonts w:asciiTheme="minorHAnsi" w:hAnsiTheme="minorHAnsi" w:cs="Arial"/>
                <w:bCs/>
                <w:color w:val="000000"/>
                <w:lang w:eastAsia="es-MX"/>
              </w:rPr>
              <w:t>DIRECTOR DE ASUNTOS JURIDICO</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Cs/>
                <w:color w:val="000000"/>
                <w:lang w:eastAsia="es-MX"/>
              </w:rPr>
            </w:pPr>
            <w:r w:rsidRPr="00A50162">
              <w:rPr>
                <w:rFonts w:asciiTheme="minorHAnsi" w:hAnsiTheme="minorHAnsi" w:cs="Arial"/>
                <w:bCs/>
                <w:color w:val="000000"/>
                <w:lang w:eastAsia="es-MX"/>
              </w:rPr>
              <w:t>Tiene 1 Especialista de Servicios “A”</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bCs/>
                <w:color w:val="000000"/>
                <w:lang w:eastAsia="es-MX"/>
              </w:rPr>
            </w:pPr>
            <w:r w:rsidRPr="00A50162">
              <w:rPr>
                <w:rFonts w:asciiTheme="minorHAnsi" w:hAnsiTheme="minorHAnsi" w:cs="Arial"/>
                <w:bCs/>
                <w:color w:val="000000"/>
                <w:lang w:eastAsia="es-MX"/>
              </w:rPr>
              <w:t>DIRECTOR ADMINISTRATIVA</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
                <w:bCs/>
                <w:color w:val="000000"/>
                <w:lang w:eastAsia="es-MX"/>
              </w:rPr>
            </w:pPr>
            <w:r w:rsidRPr="00A50162">
              <w:rPr>
                <w:rFonts w:asciiTheme="minorHAnsi" w:hAnsiTheme="minorHAnsi" w:cs="Arial"/>
                <w:bCs/>
                <w:color w:val="000000"/>
                <w:lang w:eastAsia="es-MX"/>
              </w:rPr>
              <w:t>Cuenta con 3 Coordinadores, 1 jefe de Departamento “B”, y con 2 Operador de Servicios “B”.</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color w:val="000000"/>
                <w:lang w:eastAsia="es-MX"/>
              </w:rPr>
            </w:pPr>
            <w:r w:rsidRPr="00A50162">
              <w:rPr>
                <w:rFonts w:asciiTheme="minorHAnsi" w:hAnsiTheme="minorHAnsi" w:cs="Arial"/>
                <w:color w:val="000000"/>
                <w:lang w:eastAsia="es-MX"/>
              </w:rPr>
              <w:t>DIRECTOR DE ACCESO A LA INFORMACIÓN Y PROTECCIÓN DE DATOS PERSONALES.</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
                <w:color w:val="000000"/>
                <w:lang w:eastAsia="es-MX"/>
              </w:rPr>
            </w:pPr>
            <w:r w:rsidRPr="00A50162">
              <w:rPr>
                <w:rFonts w:asciiTheme="minorHAnsi" w:hAnsiTheme="minorHAnsi" w:cs="Arial"/>
                <w:bCs/>
                <w:color w:val="000000"/>
                <w:lang w:eastAsia="es-MX"/>
              </w:rPr>
              <w:t>Tiene 3 Jefes de Departamento “B”.</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bCs/>
                <w:color w:val="000000"/>
                <w:lang w:eastAsia="es-MX"/>
              </w:rPr>
            </w:pPr>
            <w:r w:rsidRPr="00A50162">
              <w:rPr>
                <w:rFonts w:asciiTheme="minorHAnsi" w:hAnsiTheme="minorHAnsi" w:cs="Arial"/>
                <w:bCs/>
                <w:color w:val="000000"/>
                <w:lang w:eastAsia="es-MX"/>
              </w:rPr>
              <w:t>DIRECTOR DE COMUNICACION SOCIAL Y VINCULACIÓN</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Cs/>
                <w:color w:val="000000"/>
                <w:lang w:eastAsia="es-MX"/>
              </w:rPr>
            </w:pPr>
            <w:r w:rsidRPr="00A50162">
              <w:rPr>
                <w:rFonts w:asciiTheme="minorHAnsi" w:hAnsiTheme="minorHAnsi" w:cs="Arial"/>
                <w:bCs/>
                <w:color w:val="000000"/>
                <w:lang w:eastAsia="es-MX"/>
              </w:rPr>
              <w:t>Tiene 3 Jefes de Departamento “B”.</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bCs/>
                <w:color w:val="000000"/>
                <w:lang w:eastAsia="es-MX"/>
              </w:rPr>
            </w:pPr>
            <w:r w:rsidRPr="00A50162">
              <w:rPr>
                <w:rFonts w:asciiTheme="minorHAnsi" w:hAnsiTheme="minorHAnsi" w:cs="Arial"/>
                <w:bCs/>
                <w:color w:val="000000"/>
                <w:lang w:eastAsia="es-MX"/>
              </w:rPr>
              <w:t>DIRECTOR DE ARCHIVONOMIA</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
                <w:bCs/>
                <w:color w:val="000000"/>
                <w:lang w:eastAsia="es-MX"/>
              </w:rPr>
            </w:pPr>
            <w:r w:rsidRPr="00A50162">
              <w:rPr>
                <w:rFonts w:asciiTheme="minorHAnsi" w:hAnsiTheme="minorHAnsi" w:cs="Arial"/>
                <w:bCs/>
                <w:color w:val="000000"/>
                <w:lang w:eastAsia="es-MX"/>
              </w:rPr>
              <w:t>Tiene 1 Especialista de Servicios “A”.</w:t>
            </w:r>
          </w:p>
        </w:tc>
      </w:tr>
    </w:tbl>
    <w:p w:rsidR="00772C92" w:rsidRPr="00772C92" w:rsidRDefault="00772C92" w:rsidP="00772C92">
      <w:pPr>
        <w:jc w:val="both"/>
        <w:rPr>
          <w:rFonts w:asciiTheme="minorHAnsi" w:hAnsiTheme="minorHAnsi"/>
          <w:highlight w:val="yellow"/>
        </w:rPr>
      </w:pPr>
    </w:p>
    <w:p w:rsidR="007D1E76" w:rsidRPr="00772C92" w:rsidRDefault="007D1E76" w:rsidP="007D1E76">
      <w:pPr>
        <w:spacing w:after="0" w:line="240" w:lineRule="auto"/>
        <w:jc w:val="both"/>
        <w:rPr>
          <w:rFonts w:asciiTheme="minorHAnsi" w:hAnsiTheme="minorHAnsi" w:cs="Calibri"/>
          <w:highlight w:val="yellow"/>
        </w:rPr>
      </w:pPr>
    </w:p>
    <w:p w:rsidR="007D1E76" w:rsidRPr="00A50162" w:rsidRDefault="007D1E76" w:rsidP="007D1E76">
      <w:pPr>
        <w:spacing w:after="0" w:line="240" w:lineRule="auto"/>
        <w:jc w:val="both"/>
        <w:rPr>
          <w:rFonts w:cs="Calibri"/>
        </w:rPr>
      </w:pPr>
    </w:p>
    <w:p w:rsidR="007D1E76" w:rsidRPr="00A50162" w:rsidRDefault="007D1E76" w:rsidP="007D1E76">
      <w:pPr>
        <w:spacing w:after="0" w:line="240" w:lineRule="auto"/>
        <w:jc w:val="both"/>
        <w:rPr>
          <w:rFonts w:cs="Calibri"/>
          <w:b/>
        </w:rPr>
      </w:pPr>
      <w:r w:rsidRPr="00A50162">
        <w:rPr>
          <w:rFonts w:cs="Calibri"/>
          <w:b/>
        </w:rPr>
        <w:t xml:space="preserve">4. </w:t>
      </w:r>
      <w:r w:rsidR="00E00323" w:rsidRPr="00A50162">
        <w:rPr>
          <w:rFonts w:cs="Calibri"/>
          <w:b/>
        </w:rPr>
        <w:t>Organización y Objeto Social:</w:t>
      </w:r>
    </w:p>
    <w:p w:rsidR="007D1E76" w:rsidRPr="00A50162" w:rsidRDefault="007D1E76" w:rsidP="007D1E76">
      <w:pPr>
        <w:spacing w:after="0" w:line="240" w:lineRule="auto"/>
        <w:jc w:val="both"/>
        <w:rPr>
          <w:rFonts w:cs="Calibri"/>
        </w:rPr>
      </w:pPr>
    </w:p>
    <w:p w:rsidR="007D1E76" w:rsidRPr="00A50162" w:rsidRDefault="007D1E76" w:rsidP="007D1E76">
      <w:pPr>
        <w:spacing w:after="0" w:line="240" w:lineRule="auto"/>
        <w:jc w:val="both"/>
        <w:rPr>
          <w:rFonts w:asciiTheme="minorHAnsi" w:hAnsiTheme="minorHAnsi" w:cs="Calibri"/>
        </w:rPr>
      </w:pPr>
      <w:r w:rsidRPr="00A50162">
        <w:rPr>
          <w:rFonts w:asciiTheme="minorHAnsi" w:hAnsiTheme="minorHAnsi" w:cs="Calibri"/>
        </w:rPr>
        <w:t>Se informará sobre:</w:t>
      </w:r>
    </w:p>
    <w:p w:rsidR="007D1E76" w:rsidRPr="00A50162" w:rsidRDefault="007D1E76" w:rsidP="007D1E76">
      <w:pPr>
        <w:spacing w:after="0" w:line="240" w:lineRule="auto"/>
        <w:jc w:val="both"/>
        <w:rPr>
          <w:rFonts w:asciiTheme="minorHAnsi" w:hAnsiTheme="minorHAnsi" w:cs="Calibri"/>
        </w:rPr>
      </w:pPr>
    </w:p>
    <w:p w:rsidR="00A50162" w:rsidRPr="00A50162" w:rsidRDefault="00A50162" w:rsidP="00A50162">
      <w:pPr>
        <w:spacing w:after="0" w:line="240" w:lineRule="auto"/>
        <w:jc w:val="both"/>
        <w:rPr>
          <w:rFonts w:asciiTheme="minorHAnsi" w:hAnsiTheme="minorHAnsi" w:cs="Calibri"/>
        </w:rPr>
      </w:pPr>
    </w:p>
    <w:p w:rsidR="00A50162" w:rsidRPr="00A50162" w:rsidRDefault="00A50162" w:rsidP="00A50162">
      <w:pPr>
        <w:spacing w:after="0" w:line="240" w:lineRule="auto"/>
        <w:jc w:val="both"/>
        <w:rPr>
          <w:rFonts w:asciiTheme="minorHAnsi" w:hAnsiTheme="minorHAnsi"/>
        </w:rPr>
      </w:pPr>
      <w:r w:rsidRPr="00A50162">
        <w:rPr>
          <w:rFonts w:asciiTheme="minorHAnsi" w:hAnsiTheme="minorHAnsi"/>
          <w:b/>
        </w:rPr>
        <w:t>a)</w:t>
      </w:r>
      <w:r w:rsidRPr="00A50162">
        <w:rPr>
          <w:rFonts w:asciiTheme="minorHAnsi" w:hAnsiTheme="minorHAnsi"/>
        </w:rPr>
        <w:t xml:space="preserve"> Objeto social.</w:t>
      </w:r>
    </w:p>
    <w:p w:rsidR="00A50162" w:rsidRPr="00A50162" w:rsidRDefault="00A50162" w:rsidP="00A50162">
      <w:pPr>
        <w:jc w:val="both"/>
        <w:rPr>
          <w:rFonts w:asciiTheme="minorHAnsi" w:hAnsiTheme="minorHAnsi"/>
        </w:rPr>
      </w:pPr>
      <w:r w:rsidRPr="00A50162">
        <w:rPr>
          <w:rFonts w:asciiTheme="minorHAnsi" w:hAnsiTheme="minorHAnsi"/>
        </w:rPr>
        <w:t>Organismo autónomo, con personalidad jurídica y patrimonio propios, dotado de autonomía en el ejercicio de sus atribuciones, especializado en los términos del artículo 6° de la Constitución Política de los Estados Unidos Mexicanos.</w:t>
      </w:r>
    </w:p>
    <w:p w:rsidR="00A50162" w:rsidRPr="00A50162" w:rsidRDefault="00A50162" w:rsidP="00A50162">
      <w:pPr>
        <w:jc w:val="both"/>
        <w:rPr>
          <w:rFonts w:asciiTheme="minorHAnsi" w:hAnsiTheme="minorHAnsi"/>
        </w:rPr>
      </w:pPr>
      <w:r w:rsidRPr="00A50162">
        <w:rPr>
          <w:rFonts w:asciiTheme="minorHAnsi" w:hAnsiTheme="minorHAnsi"/>
        </w:rPr>
        <w:t xml:space="preserve">Articulo 14 base primera: El Instituto es un Organismo Autónomo especializado e imparcial, responsable de garantizar el cumplimiento del derecho de acceso a la información pública y a la protección de datos personales en los términos que establezca la Ley. Contando con personalidad jurídica y patrimonio propios, así como plena </w:t>
      </w:r>
      <w:r w:rsidRPr="00A50162">
        <w:rPr>
          <w:rFonts w:asciiTheme="minorHAnsi" w:hAnsiTheme="minorHAnsi"/>
          <w:b/>
        </w:rPr>
        <w:t xml:space="preserve">Autonomía Técnica, </w:t>
      </w:r>
      <w:r w:rsidRPr="00A50162">
        <w:rPr>
          <w:rFonts w:asciiTheme="minorHAnsi" w:hAnsiTheme="minorHAnsi"/>
        </w:rPr>
        <w:t>de gestión, para proponer su proyecto de presupuesto y determinar su organización interna.</w:t>
      </w:r>
    </w:p>
    <w:p w:rsidR="00A50162" w:rsidRPr="00A50162" w:rsidRDefault="00A50162" w:rsidP="00A50162">
      <w:pPr>
        <w:spacing w:after="0" w:line="240" w:lineRule="auto"/>
        <w:jc w:val="both"/>
        <w:rPr>
          <w:rFonts w:asciiTheme="minorHAnsi" w:hAnsiTheme="minorHAnsi"/>
        </w:rPr>
      </w:pPr>
    </w:p>
    <w:p w:rsidR="00A50162" w:rsidRPr="00A50162" w:rsidRDefault="00A50162" w:rsidP="00A50162">
      <w:pPr>
        <w:spacing w:after="0" w:line="240" w:lineRule="auto"/>
        <w:jc w:val="both"/>
        <w:rPr>
          <w:rFonts w:asciiTheme="minorHAnsi" w:hAnsiTheme="minorHAnsi"/>
        </w:rPr>
      </w:pPr>
      <w:r w:rsidRPr="00A50162">
        <w:rPr>
          <w:rFonts w:asciiTheme="minorHAnsi" w:hAnsiTheme="minorHAnsi"/>
          <w:b/>
        </w:rPr>
        <w:t>b)</w:t>
      </w:r>
      <w:r w:rsidRPr="00A50162">
        <w:rPr>
          <w:rFonts w:asciiTheme="minorHAnsi" w:hAnsiTheme="minorHAnsi"/>
        </w:rPr>
        <w:t xml:space="preserve"> Principal actividad.</w:t>
      </w:r>
    </w:p>
    <w:p w:rsidR="00A50162" w:rsidRPr="00A50162" w:rsidRDefault="00A50162" w:rsidP="00A50162">
      <w:pPr>
        <w:spacing w:after="0" w:line="240" w:lineRule="auto"/>
        <w:jc w:val="both"/>
        <w:rPr>
          <w:rFonts w:asciiTheme="minorHAnsi" w:hAnsiTheme="minorHAnsi"/>
        </w:rPr>
      </w:pPr>
      <w:r w:rsidRPr="00A50162">
        <w:rPr>
          <w:rFonts w:asciiTheme="minorHAnsi" w:hAnsiTheme="minorHAnsi"/>
        </w:rPr>
        <w:t>Vigilar y garantizar el cumplimiento de la Ley de Transparencia de Acceso a la Información Pública para el Estado y los Municipios de Guanajuato y la Ley de Protección de Datos Personales para el Estado y los Municipios de Guanajuato. Procurar la conciliación de los intereses de los particulares con los de los sujetos obligados cuando éstos entren en conflicto con motivo de la aplicación de esta Ley a través de los medios de impugnación como son los Recursos de Revocación y Queja.</w:t>
      </w:r>
    </w:p>
    <w:p w:rsidR="00A50162" w:rsidRPr="00A50162" w:rsidRDefault="00A50162" w:rsidP="00A50162">
      <w:pPr>
        <w:jc w:val="both"/>
        <w:rPr>
          <w:rFonts w:asciiTheme="minorHAnsi" w:hAnsiTheme="minorHAnsi"/>
        </w:rPr>
      </w:pPr>
    </w:p>
    <w:p w:rsidR="00A50162" w:rsidRPr="00A50162" w:rsidRDefault="00A50162" w:rsidP="00A50162">
      <w:pPr>
        <w:jc w:val="both"/>
        <w:rPr>
          <w:rFonts w:asciiTheme="minorHAnsi" w:hAnsiTheme="minorHAnsi"/>
        </w:rPr>
      </w:pPr>
      <w:r w:rsidRPr="00A50162">
        <w:rPr>
          <w:rFonts w:asciiTheme="minorHAnsi" w:hAnsiTheme="minorHAnsi"/>
        </w:rPr>
        <w:t xml:space="preserve">Promover en la sociedad el conocimiento, uso y aprovechamiento de la información pública, así como la capacitación y actualización de los servidores públicos en la cultura de acceso a la información pública y </w:t>
      </w:r>
      <w:r w:rsidRPr="00A50162">
        <w:rPr>
          <w:rFonts w:asciiTheme="minorHAnsi" w:hAnsiTheme="minorHAnsi"/>
        </w:rPr>
        <w:lastRenderedPageBreak/>
        <w:t>protección de datos personales, a través de cursos, seminarios, talleres y cualquier otra forma de enseñanza y entrenamiento que se considere pertinente; Difundir, impulsar, socializar y ampliar el conocimiento sobre la materia de estas leyes y su importancia social del derecho de acceso a la información pública.</w:t>
      </w:r>
    </w:p>
    <w:p w:rsidR="00772C92" w:rsidRPr="00772C92" w:rsidRDefault="00772C92" w:rsidP="00772C92">
      <w:pPr>
        <w:spacing w:after="0" w:line="240" w:lineRule="auto"/>
        <w:jc w:val="both"/>
        <w:rPr>
          <w:rFonts w:asciiTheme="minorHAnsi" w:hAnsiTheme="minorHAnsi"/>
          <w:highlight w:val="yellow"/>
        </w:rPr>
      </w:pPr>
    </w:p>
    <w:p w:rsidR="00772C92" w:rsidRPr="00CD0A3B" w:rsidRDefault="00772C92" w:rsidP="00772C92">
      <w:pPr>
        <w:spacing w:after="0" w:line="240" w:lineRule="auto"/>
        <w:jc w:val="both"/>
        <w:rPr>
          <w:rFonts w:asciiTheme="minorHAnsi" w:hAnsiTheme="minorHAnsi"/>
        </w:rPr>
      </w:pPr>
      <w:r w:rsidRPr="00CD0A3B">
        <w:rPr>
          <w:rFonts w:asciiTheme="minorHAnsi" w:hAnsiTheme="minorHAnsi"/>
          <w:b/>
        </w:rPr>
        <w:t>c)</w:t>
      </w:r>
      <w:r w:rsidRPr="00CD0A3B">
        <w:rPr>
          <w:rFonts w:asciiTheme="minorHAnsi" w:hAnsiTheme="minorHAnsi"/>
        </w:rPr>
        <w:t xml:space="preserve"> Ejercicio fiscal (mencionar por ejemplo: enero a diciembre de 2012).</w:t>
      </w:r>
    </w:p>
    <w:p w:rsidR="00772C92" w:rsidRPr="00CD0A3B" w:rsidRDefault="00772C92" w:rsidP="00772C92">
      <w:pPr>
        <w:jc w:val="both"/>
        <w:rPr>
          <w:rFonts w:asciiTheme="minorHAnsi" w:hAnsiTheme="minorHAnsi"/>
        </w:rPr>
      </w:pPr>
      <w:r w:rsidRPr="00CD0A3B">
        <w:rPr>
          <w:rFonts w:asciiTheme="minorHAnsi" w:hAnsiTheme="minorHAnsi"/>
        </w:rPr>
        <w:t>Enero a Marzo 2016, 1er trimestre de la Cuenta Pública 2016.</w:t>
      </w:r>
    </w:p>
    <w:p w:rsidR="00772C92" w:rsidRPr="00CD0A3B" w:rsidRDefault="00772C92" w:rsidP="00772C92">
      <w:pPr>
        <w:spacing w:after="0" w:line="240" w:lineRule="auto"/>
        <w:jc w:val="both"/>
        <w:rPr>
          <w:rFonts w:asciiTheme="minorHAnsi" w:hAnsiTheme="minorHAnsi"/>
        </w:rPr>
      </w:pPr>
      <w:r w:rsidRPr="00CD0A3B">
        <w:rPr>
          <w:rFonts w:asciiTheme="minorHAnsi" w:hAnsiTheme="minorHAnsi"/>
          <w:b/>
        </w:rPr>
        <w:t>d)</w:t>
      </w:r>
      <w:r w:rsidRPr="00CD0A3B">
        <w:rPr>
          <w:rFonts w:asciiTheme="minorHAnsi" w:hAnsiTheme="minorHAnsi"/>
        </w:rPr>
        <w:t xml:space="preserve"> Régimen jurídico (Forma como está dada de alta la entidad ante la S.H.C.P., ejemplos: S.C., S.A., Personas morales sin fines de lucro, etc.). </w:t>
      </w:r>
    </w:p>
    <w:p w:rsidR="00772C92" w:rsidRPr="00CD0A3B" w:rsidRDefault="00772C92" w:rsidP="00772C92">
      <w:pPr>
        <w:spacing w:after="0" w:line="240" w:lineRule="auto"/>
        <w:jc w:val="both"/>
        <w:rPr>
          <w:rFonts w:asciiTheme="minorHAnsi" w:hAnsiTheme="minorHAnsi"/>
        </w:rPr>
      </w:pPr>
      <w:r w:rsidRPr="00CD0A3B">
        <w:rPr>
          <w:rFonts w:asciiTheme="minorHAnsi" w:hAnsiTheme="minorHAnsi"/>
        </w:rPr>
        <w:t>Persona Moral con fines no lucrativos.</w:t>
      </w:r>
    </w:p>
    <w:p w:rsidR="00772C92" w:rsidRPr="00CD0A3B" w:rsidRDefault="00772C92" w:rsidP="00772C92">
      <w:pPr>
        <w:spacing w:after="0" w:line="240" w:lineRule="auto"/>
        <w:jc w:val="both"/>
        <w:rPr>
          <w:rFonts w:asciiTheme="minorHAnsi" w:hAnsiTheme="minorHAnsi"/>
        </w:rPr>
      </w:pPr>
    </w:p>
    <w:p w:rsidR="00772C92" w:rsidRPr="00CD0A3B" w:rsidRDefault="00772C92" w:rsidP="00772C92">
      <w:pPr>
        <w:spacing w:after="0" w:line="240" w:lineRule="auto"/>
        <w:jc w:val="both"/>
        <w:rPr>
          <w:rFonts w:asciiTheme="minorHAnsi" w:hAnsiTheme="minorHAnsi"/>
        </w:rPr>
      </w:pPr>
      <w:r w:rsidRPr="00CD0A3B">
        <w:rPr>
          <w:rFonts w:asciiTheme="minorHAnsi" w:hAnsiTheme="minorHAnsi"/>
          <w:b/>
        </w:rPr>
        <w:t>e)</w:t>
      </w:r>
      <w:r w:rsidRPr="00CD0A3B">
        <w:rPr>
          <w:rFonts w:asciiTheme="minorHAnsi" w:hAnsiTheme="minorHAnsi"/>
        </w:rPr>
        <w:t xml:space="preserve"> Consideraciones fiscales del ente: revelar el tipo de contribuciones que esté obligado a pagar o retener.</w:t>
      </w:r>
    </w:p>
    <w:p w:rsidR="00772C92" w:rsidRPr="00CD0A3B" w:rsidRDefault="00772C92" w:rsidP="00772C92">
      <w:pPr>
        <w:jc w:val="both"/>
        <w:rPr>
          <w:rFonts w:asciiTheme="minorHAnsi" w:hAnsiTheme="minorHAnsi"/>
        </w:rPr>
      </w:pPr>
      <w:r w:rsidRPr="00CD0A3B">
        <w:rPr>
          <w:rFonts w:asciiTheme="minorHAnsi" w:hAnsiTheme="minorHAnsi"/>
        </w:rPr>
        <w:t>Impuesto sobre la renta, de sueldos y salarios, asimilados a salarios y de servicios profesionales.</w:t>
      </w:r>
    </w:p>
    <w:p w:rsidR="00772C92" w:rsidRPr="00CD0A3B" w:rsidRDefault="00772C92" w:rsidP="00772C92">
      <w:pPr>
        <w:spacing w:after="0" w:line="240" w:lineRule="auto"/>
        <w:jc w:val="both"/>
        <w:rPr>
          <w:rFonts w:asciiTheme="minorHAnsi" w:hAnsiTheme="minorHAnsi"/>
        </w:rPr>
      </w:pPr>
    </w:p>
    <w:p w:rsidR="00772C92" w:rsidRPr="00CD0A3B" w:rsidRDefault="00772C92" w:rsidP="00772C92">
      <w:pPr>
        <w:spacing w:after="0" w:line="240" w:lineRule="auto"/>
        <w:jc w:val="both"/>
        <w:rPr>
          <w:rFonts w:asciiTheme="minorHAnsi" w:hAnsiTheme="minorHAnsi"/>
        </w:rPr>
      </w:pPr>
      <w:r w:rsidRPr="00CD0A3B">
        <w:rPr>
          <w:rFonts w:asciiTheme="minorHAnsi" w:hAnsiTheme="minorHAnsi"/>
          <w:b/>
        </w:rPr>
        <w:t>f)</w:t>
      </w:r>
      <w:r w:rsidRPr="00CD0A3B">
        <w:rPr>
          <w:rFonts w:asciiTheme="minorHAnsi" w:hAnsiTheme="minorHAnsi"/>
        </w:rPr>
        <w:t xml:space="preserve"> Estructura organizacional básica.</w:t>
      </w:r>
    </w:p>
    <w:p w:rsidR="00772C92" w:rsidRPr="00772C92" w:rsidRDefault="00772C92" w:rsidP="00772C92">
      <w:pPr>
        <w:spacing w:after="0" w:line="240" w:lineRule="auto"/>
        <w:ind w:firstLine="708"/>
        <w:jc w:val="both"/>
        <w:rPr>
          <w:rFonts w:asciiTheme="minorHAnsi" w:hAnsiTheme="minorHAnsi"/>
        </w:rPr>
      </w:pPr>
      <w:r w:rsidRPr="00CD0A3B">
        <w:rPr>
          <w:rFonts w:asciiTheme="minorHAnsi" w:hAnsiTheme="minorHAnsi"/>
        </w:rPr>
        <w:t>*Anexar organigrama de la entidad.</w:t>
      </w:r>
    </w:p>
    <w:p w:rsidR="00772C92" w:rsidRPr="00DB0F1F" w:rsidRDefault="00772C92" w:rsidP="00772C92">
      <w:pPr>
        <w:jc w:val="both"/>
        <w:rPr>
          <w:rFonts w:ascii="Arial monospaced for SAP" w:hAnsi="Arial monospaced for SAP"/>
          <w:sz w:val="20"/>
          <w:szCs w:val="20"/>
        </w:rPr>
      </w:pPr>
    </w:p>
    <w:p w:rsidR="007D1E76" w:rsidRPr="00E74967" w:rsidRDefault="00772C92" w:rsidP="00772C92">
      <w:pPr>
        <w:spacing w:after="0" w:line="240" w:lineRule="auto"/>
        <w:jc w:val="both"/>
        <w:rPr>
          <w:rFonts w:cs="Calibri"/>
        </w:rPr>
      </w:pPr>
      <w:r w:rsidRPr="00992496">
        <w:rPr>
          <w:noProof/>
          <w:lang w:eastAsia="es-MX"/>
        </w:rPr>
        <w:drawing>
          <wp:inline distT="0" distB="0" distL="0" distR="0">
            <wp:extent cx="6143625" cy="3390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3625" cy="3390900"/>
                    </a:xfrm>
                    <a:prstGeom prst="rect">
                      <a:avLst/>
                    </a:prstGeom>
                    <a:noFill/>
                    <a:ln>
                      <a:noFill/>
                    </a:ln>
                  </pic:spPr>
                </pic:pic>
              </a:graphicData>
            </a:graphic>
          </wp:inline>
        </w:drawing>
      </w:r>
    </w:p>
    <w:p w:rsidR="007D1E76" w:rsidRPr="00E74967" w:rsidRDefault="00772C92" w:rsidP="007D1E76">
      <w:pPr>
        <w:spacing w:after="0" w:line="240" w:lineRule="auto"/>
        <w:jc w:val="both"/>
        <w:rPr>
          <w:rFonts w:cs="Calibri"/>
        </w:rPr>
      </w:pPr>
      <w:r w:rsidRPr="00772C92">
        <w:rPr>
          <w:noProof/>
          <w:lang w:eastAsia="es-MX"/>
        </w:rPr>
        <w:lastRenderedPageBreak/>
        <w:drawing>
          <wp:inline distT="0" distB="0" distL="0" distR="0">
            <wp:extent cx="6143625" cy="3248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3625" cy="3248025"/>
                    </a:xfrm>
                    <a:prstGeom prst="rect">
                      <a:avLst/>
                    </a:prstGeom>
                    <a:noFill/>
                    <a:ln>
                      <a:noFill/>
                    </a:ln>
                  </pic:spPr>
                </pic:pic>
              </a:graphicData>
            </a:graphic>
          </wp:inline>
        </w:drawing>
      </w:r>
    </w:p>
    <w:p w:rsidR="00772C92" w:rsidRDefault="00772C92"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72C9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CD0A3B" w:rsidRDefault="00CD0A3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Default="007D1E76" w:rsidP="007D1E76">
      <w:pPr>
        <w:spacing w:after="0" w:line="240" w:lineRule="auto"/>
        <w:jc w:val="both"/>
        <w:rPr>
          <w:rFonts w:cs="Calibri"/>
        </w:rPr>
      </w:pPr>
    </w:p>
    <w:p w:rsidR="00CD0A3B" w:rsidRPr="00CD0A3B" w:rsidRDefault="00CD0A3B" w:rsidP="00CD0A3B">
      <w:pPr>
        <w:spacing w:after="0" w:line="240" w:lineRule="auto"/>
        <w:jc w:val="both"/>
        <w:rPr>
          <w:rFonts w:asciiTheme="minorHAnsi" w:hAnsiTheme="minorHAnsi" w:cs="Calibri"/>
        </w:rPr>
      </w:pPr>
      <w:r w:rsidRPr="00CD0A3B">
        <w:rPr>
          <w:rFonts w:asciiTheme="minorHAnsi" w:hAnsiTheme="minorHAnsi" w:cs="Calibri"/>
          <w:b/>
        </w:rPr>
        <w:t>a)</w:t>
      </w:r>
      <w:r w:rsidRPr="00CD0A3B">
        <w:rPr>
          <w:rFonts w:asciiTheme="minorHAnsi" w:hAnsiTheme="minorHAnsi" w:cs="Calibri"/>
        </w:rPr>
        <w:t xml:space="preserve"> Si se ha observado la normatividad emitida por el CONAC y las disposiciones legales aplicables.</w:t>
      </w:r>
    </w:p>
    <w:p w:rsidR="00CD0A3B" w:rsidRPr="00CD0A3B" w:rsidRDefault="00CD0A3B" w:rsidP="00CD0A3B">
      <w:pPr>
        <w:jc w:val="both"/>
        <w:rPr>
          <w:rFonts w:asciiTheme="minorHAnsi" w:hAnsiTheme="minorHAnsi"/>
        </w:rPr>
      </w:pPr>
      <w:r w:rsidRPr="00CD0A3B">
        <w:rPr>
          <w:rFonts w:asciiTheme="minorHAnsi" w:hAnsiTheme="minorHAnsi"/>
        </w:rPr>
        <w:t>Las Bases de Preparación de los Estados Financieros observan en cierta medida la normatividad emitida por el CONAC y las disposiciones legales aplicables.</w:t>
      </w:r>
    </w:p>
    <w:p w:rsidR="00CD0A3B" w:rsidRPr="00CD0A3B" w:rsidRDefault="00CD0A3B" w:rsidP="00CD0A3B">
      <w:pPr>
        <w:spacing w:after="0" w:line="240" w:lineRule="auto"/>
        <w:jc w:val="both"/>
        <w:rPr>
          <w:rFonts w:asciiTheme="minorHAnsi" w:hAnsiTheme="minorHAnsi" w:cs="Calibri"/>
        </w:rPr>
      </w:pPr>
    </w:p>
    <w:p w:rsidR="00CD0A3B" w:rsidRPr="00CD0A3B" w:rsidRDefault="00CD0A3B" w:rsidP="00CD0A3B">
      <w:pPr>
        <w:spacing w:after="0" w:line="240" w:lineRule="auto"/>
        <w:jc w:val="both"/>
        <w:rPr>
          <w:rFonts w:asciiTheme="minorHAnsi" w:hAnsiTheme="minorHAnsi" w:cs="Calibri"/>
        </w:rPr>
      </w:pPr>
      <w:r w:rsidRPr="00CD0A3B">
        <w:rPr>
          <w:rFonts w:asciiTheme="minorHAnsi" w:hAnsiTheme="minorHAnsi" w:cs="Calibri"/>
          <w:b/>
        </w:rPr>
        <w:t>b)</w:t>
      </w:r>
      <w:r w:rsidRPr="00CD0A3B">
        <w:rPr>
          <w:rFonts w:asciiTheme="minorHAnsi" w:hAnsiTheme="minorHAnsi"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A3B" w:rsidRPr="00CD0A3B" w:rsidRDefault="00CD0A3B" w:rsidP="00CD0A3B">
      <w:pPr>
        <w:spacing w:after="0" w:line="240" w:lineRule="auto"/>
        <w:jc w:val="both"/>
        <w:rPr>
          <w:rFonts w:asciiTheme="minorHAnsi" w:hAnsiTheme="minorHAnsi"/>
        </w:rPr>
      </w:pPr>
      <w:r w:rsidRPr="00CD0A3B">
        <w:rPr>
          <w:rFonts w:asciiTheme="minorHAnsi" w:hAnsiTheme="minorHAnsi"/>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A3B" w:rsidRPr="00CD0A3B" w:rsidRDefault="00CD0A3B" w:rsidP="00CD0A3B">
      <w:pPr>
        <w:spacing w:after="0" w:line="240" w:lineRule="auto"/>
        <w:jc w:val="both"/>
        <w:rPr>
          <w:rFonts w:asciiTheme="minorHAnsi" w:hAnsiTheme="minorHAnsi" w:cs="Calibri"/>
        </w:rPr>
      </w:pPr>
    </w:p>
    <w:p w:rsidR="00CD0A3B" w:rsidRPr="00CD0A3B" w:rsidRDefault="00CD0A3B" w:rsidP="00CD0A3B">
      <w:pPr>
        <w:spacing w:after="0" w:line="240" w:lineRule="auto"/>
        <w:jc w:val="both"/>
        <w:rPr>
          <w:rFonts w:asciiTheme="minorHAnsi" w:hAnsiTheme="minorHAnsi" w:cs="Calibri"/>
        </w:rPr>
      </w:pPr>
      <w:r w:rsidRPr="00CD0A3B">
        <w:rPr>
          <w:rFonts w:asciiTheme="minorHAnsi" w:hAnsiTheme="minorHAnsi" w:cs="Calibri"/>
          <w:b/>
        </w:rPr>
        <w:t>c)</w:t>
      </w:r>
      <w:r w:rsidRPr="00CD0A3B">
        <w:rPr>
          <w:rFonts w:asciiTheme="minorHAnsi" w:hAnsiTheme="minorHAnsi" w:cs="Calibri"/>
        </w:rPr>
        <w:t xml:space="preserve"> Postulados básicos.</w:t>
      </w:r>
    </w:p>
    <w:p w:rsidR="00CD0A3B" w:rsidRPr="00CD0A3B" w:rsidRDefault="00CD0A3B" w:rsidP="00CD0A3B">
      <w:pPr>
        <w:jc w:val="both"/>
        <w:rPr>
          <w:rFonts w:asciiTheme="minorHAnsi" w:hAnsiTheme="minorHAnsi"/>
        </w:rPr>
      </w:pPr>
      <w:r w:rsidRPr="00CD0A3B">
        <w:rPr>
          <w:rFonts w:asciiTheme="minorHAnsi" w:hAnsiTheme="minorHAnsi"/>
        </w:rPr>
        <w:t>Las Bases de Preparación de los Estados Financieros aplican los Postulados Básicos de Registro Contable, el devengo del ingreso, entre otros, aún se encuentra en fase de desarrollo de los diferentes rubros de la información financiera.</w:t>
      </w:r>
    </w:p>
    <w:p w:rsidR="00CD0A3B" w:rsidRPr="00CD0A3B" w:rsidRDefault="00CD0A3B" w:rsidP="00CD0A3B">
      <w:pPr>
        <w:spacing w:after="0" w:line="240" w:lineRule="auto"/>
        <w:jc w:val="both"/>
        <w:rPr>
          <w:rFonts w:asciiTheme="minorHAnsi" w:hAnsiTheme="minorHAnsi" w:cs="Calibri"/>
        </w:rPr>
      </w:pPr>
      <w:r w:rsidRPr="00CD0A3B">
        <w:rPr>
          <w:rFonts w:asciiTheme="minorHAnsi" w:hAnsiTheme="minorHAnsi" w:cs="Calibri"/>
          <w:b/>
        </w:rPr>
        <w:lastRenderedPageBreak/>
        <w:t>d)</w:t>
      </w:r>
      <w:r w:rsidRPr="00CD0A3B">
        <w:rPr>
          <w:rFonts w:asciiTheme="minorHAnsi" w:hAnsiTheme="minorHAnsi"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D0A3B" w:rsidRPr="00CD0A3B" w:rsidRDefault="00CD0A3B" w:rsidP="00CD0A3B">
      <w:pPr>
        <w:spacing w:after="0" w:line="240" w:lineRule="auto"/>
        <w:jc w:val="both"/>
        <w:rPr>
          <w:rFonts w:asciiTheme="minorHAnsi" w:hAnsiTheme="minorHAnsi"/>
        </w:rPr>
      </w:pPr>
      <w:r w:rsidRPr="00CD0A3B">
        <w:rPr>
          <w:rFonts w:asciiTheme="minorHAnsi" w:hAnsiTheme="minorHAnsi"/>
        </w:rPr>
        <w:t>No aplica.</w:t>
      </w:r>
    </w:p>
    <w:p w:rsidR="00CD0A3B" w:rsidRPr="00CD0A3B" w:rsidRDefault="00CD0A3B" w:rsidP="00CD0A3B">
      <w:pPr>
        <w:spacing w:after="0" w:line="240" w:lineRule="auto"/>
        <w:jc w:val="both"/>
        <w:rPr>
          <w:rFonts w:asciiTheme="minorHAnsi" w:hAnsiTheme="minorHAnsi" w:cs="Calibri"/>
        </w:rPr>
      </w:pPr>
    </w:p>
    <w:p w:rsidR="00CD0A3B" w:rsidRPr="00CD0A3B" w:rsidRDefault="00CD0A3B" w:rsidP="00CD0A3B">
      <w:pPr>
        <w:spacing w:after="0" w:line="240" w:lineRule="auto"/>
        <w:jc w:val="both"/>
        <w:rPr>
          <w:rFonts w:asciiTheme="minorHAnsi" w:hAnsiTheme="minorHAnsi" w:cs="Calibri"/>
        </w:rPr>
      </w:pPr>
      <w:r w:rsidRPr="00CD0A3B">
        <w:rPr>
          <w:rFonts w:asciiTheme="minorHAnsi" w:hAnsiTheme="minorHAnsi" w:cs="Calibri"/>
          <w:b/>
        </w:rPr>
        <w:t>e)</w:t>
      </w:r>
      <w:r w:rsidRPr="00CD0A3B">
        <w:rPr>
          <w:rFonts w:asciiTheme="minorHAnsi" w:hAnsiTheme="minorHAnsi" w:cs="Calibri"/>
        </w:rPr>
        <w:t xml:space="preserve"> Para las entidades que por primera vez estén implementando la base devengado de acuerdo a la Ley de Contabilidad, deberán:</w:t>
      </w:r>
    </w:p>
    <w:p w:rsidR="00CD0A3B" w:rsidRPr="00CD0A3B" w:rsidRDefault="00CD0A3B" w:rsidP="00CD0A3B">
      <w:pPr>
        <w:spacing w:after="0" w:line="240" w:lineRule="auto"/>
        <w:jc w:val="both"/>
        <w:rPr>
          <w:rFonts w:asciiTheme="minorHAnsi" w:hAnsiTheme="minorHAnsi" w:cs="Calibri"/>
        </w:rPr>
      </w:pPr>
    </w:p>
    <w:p w:rsidR="00CD0A3B" w:rsidRPr="00CD0A3B" w:rsidRDefault="00CD0A3B" w:rsidP="00CD0A3B">
      <w:pPr>
        <w:spacing w:after="0" w:line="240" w:lineRule="auto"/>
        <w:jc w:val="both"/>
        <w:rPr>
          <w:rFonts w:asciiTheme="minorHAnsi" w:hAnsiTheme="minorHAnsi"/>
        </w:rPr>
      </w:pPr>
      <w:r w:rsidRPr="00CD0A3B">
        <w:rPr>
          <w:rFonts w:asciiTheme="minorHAnsi" w:hAnsiTheme="minorHAnsi"/>
        </w:rPr>
        <w:t>*Revelar las nuevas políticas de reconocimiento:</w:t>
      </w:r>
    </w:p>
    <w:p w:rsidR="00CD0A3B" w:rsidRPr="00CD0A3B" w:rsidRDefault="00CD0A3B" w:rsidP="00CD0A3B">
      <w:pPr>
        <w:jc w:val="both"/>
        <w:rPr>
          <w:rFonts w:asciiTheme="minorHAnsi" w:hAnsiTheme="minorHAnsi"/>
        </w:rPr>
      </w:pPr>
      <w:r w:rsidRPr="00CD0A3B">
        <w:rPr>
          <w:rFonts w:asciiTheme="minorHAnsi" w:hAnsiTheme="minorHAnsi"/>
        </w:rPr>
        <w:t>No aplica.</w:t>
      </w:r>
    </w:p>
    <w:p w:rsidR="00CD0A3B" w:rsidRPr="00CD0A3B" w:rsidRDefault="00CD0A3B" w:rsidP="00CD0A3B">
      <w:pPr>
        <w:spacing w:after="0" w:line="240" w:lineRule="auto"/>
        <w:jc w:val="both"/>
        <w:rPr>
          <w:rFonts w:asciiTheme="minorHAnsi" w:hAnsiTheme="minorHAnsi"/>
        </w:rPr>
      </w:pPr>
    </w:p>
    <w:p w:rsidR="00CD0A3B" w:rsidRPr="00CD0A3B" w:rsidRDefault="00CD0A3B" w:rsidP="00CD0A3B">
      <w:pPr>
        <w:spacing w:after="0" w:line="240" w:lineRule="auto"/>
        <w:jc w:val="both"/>
        <w:rPr>
          <w:rFonts w:asciiTheme="minorHAnsi" w:hAnsiTheme="minorHAnsi"/>
        </w:rPr>
      </w:pPr>
      <w:r w:rsidRPr="00CD0A3B">
        <w:rPr>
          <w:rFonts w:asciiTheme="minorHAnsi" w:hAnsiTheme="minorHAnsi"/>
        </w:rPr>
        <w:t>*Plan de implementación:</w:t>
      </w:r>
    </w:p>
    <w:p w:rsidR="00CD0A3B" w:rsidRPr="00CD0A3B" w:rsidRDefault="00CD0A3B" w:rsidP="00CD0A3B">
      <w:pPr>
        <w:jc w:val="both"/>
        <w:rPr>
          <w:rFonts w:asciiTheme="minorHAnsi" w:hAnsiTheme="minorHAnsi"/>
        </w:rPr>
      </w:pPr>
      <w:r w:rsidRPr="00CD0A3B">
        <w:rPr>
          <w:rFonts w:asciiTheme="minorHAnsi" w:hAnsiTheme="minorHAnsi"/>
        </w:rPr>
        <w:t>No aplica.</w:t>
      </w:r>
    </w:p>
    <w:p w:rsidR="00CD0A3B" w:rsidRPr="00CD0A3B" w:rsidRDefault="00CD0A3B" w:rsidP="00CD0A3B">
      <w:pPr>
        <w:spacing w:after="0" w:line="240" w:lineRule="auto"/>
        <w:jc w:val="both"/>
        <w:rPr>
          <w:rFonts w:asciiTheme="minorHAnsi" w:hAnsiTheme="minorHAnsi"/>
        </w:rPr>
      </w:pPr>
      <w:r w:rsidRPr="00CD0A3B">
        <w:rPr>
          <w:rFonts w:asciiTheme="minorHAnsi" w:hAnsiTheme="minorHAnsi"/>
        </w:rPr>
        <w:t>*Revelar los cambios en las políticas, la clasificación y medición de las mismas, así como su impacto en la información financiera:</w:t>
      </w:r>
    </w:p>
    <w:p w:rsidR="00CD0A3B" w:rsidRPr="00CD0A3B" w:rsidRDefault="00CD0A3B" w:rsidP="00CD0A3B">
      <w:pPr>
        <w:jc w:val="both"/>
        <w:rPr>
          <w:rFonts w:asciiTheme="minorHAnsi" w:hAnsiTheme="minorHAnsi"/>
        </w:rPr>
      </w:pPr>
      <w:r w:rsidRPr="00CD0A3B">
        <w:rPr>
          <w:rFonts w:asciiTheme="minorHAnsi" w:hAnsiTheme="minorHAnsi"/>
        </w:rPr>
        <w:t>No aplica.</w:t>
      </w:r>
    </w:p>
    <w:p w:rsidR="00CD0A3B" w:rsidRPr="00E74967" w:rsidRDefault="00CD0A3B"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Default="007D1E76" w:rsidP="007D1E76">
      <w:pPr>
        <w:spacing w:after="0" w:line="240" w:lineRule="auto"/>
        <w:jc w:val="both"/>
        <w:rPr>
          <w:rFonts w:cs="Calibri"/>
        </w:rPr>
      </w:pPr>
    </w:p>
    <w:p w:rsidR="00D34304" w:rsidRPr="00DB0F1F" w:rsidRDefault="00D34304" w:rsidP="00D34304">
      <w:pPr>
        <w:spacing w:after="0" w:line="240" w:lineRule="auto"/>
        <w:jc w:val="both"/>
        <w:rPr>
          <w:rFonts w:ascii="Arial monospaced for SAP" w:hAnsi="Arial monospaced for SAP" w:cs="Calibri"/>
          <w:sz w:val="20"/>
          <w:szCs w:val="20"/>
        </w:rPr>
      </w:pPr>
      <w:r w:rsidRPr="00DB0F1F">
        <w:rPr>
          <w:rFonts w:ascii="Arial monospaced for SAP" w:hAnsi="Arial monospaced for SAP" w:cs="Calibri"/>
          <w:sz w:val="20"/>
          <w:szCs w:val="20"/>
        </w:rPr>
        <w:t>Se informará sobre:</w:t>
      </w:r>
    </w:p>
    <w:p w:rsidR="00D34304" w:rsidRPr="00DB0F1F" w:rsidRDefault="00D34304" w:rsidP="00D34304">
      <w:pPr>
        <w:spacing w:after="0" w:line="240" w:lineRule="auto"/>
        <w:jc w:val="both"/>
        <w:rPr>
          <w:rFonts w:ascii="Arial monospaced for SAP" w:hAnsi="Arial monospaced for SAP" w:cs="Calibri"/>
          <w:sz w:val="20"/>
          <w:szCs w:val="20"/>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a)</w:t>
      </w:r>
      <w:r w:rsidRPr="00D34304">
        <w:rPr>
          <w:rFonts w:asciiTheme="minorHAnsi" w:hAnsiTheme="minorHAnsi"/>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D34304" w:rsidRPr="00D34304" w:rsidRDefault="00225603" w:rsidP="00D34304">
      <w:pPr>
        <w:jc w:val="both"/>
        <w:rPr>
          <w:rFonts w:asciiTheme="minorHAnsi" w:hAnsiTheme="minorHAnsi"/>
        </w:rPr>
      </w:pPr>
      <w:r w:rsidRPr="00225603">
        <w:rPr>
          <w:rFonts w:asciiTheme="minorHAnsi" w:hAnsiTheme="minorHAnsi"/>
        </w:rPr>
        <w:t>Se efectuó modificación en la aplicación de la depreciación y amortización de los activos, de anual a realizarse de forma mensual.</w:t>
      </w:r>
      <w:r>
        <w:rPr>
          <w:rFonts w:asciiTheme="minorHAnsi" w:hAnsiTheme="minorHAnsi"/>
        </w:rPr>
        <w:t xml:space="preserve"> </w:t>
      </w:r>
    </w:p>
    <w:p w:rsidR="00D34304" w:rsidRPr="00D34304" w:rsidRDefault="00D34304" w:rsidP="00D34304">
      <w:pPr>
        <w:spacing w:after="0" w:line="240" w:lineRule="auto"/>
        <w:jc w:val="both"/>
        <w:rPr>
          <w:rFonts w:asciiTheme="minorHAnsi" w:hAnsiTheme="minorHAnsi"/>
          <w:b/>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b)</w:t>
      </w:r>
      <w:r w:rsidRPr="00D34304">
        <w:rPr>
          <w:rFonts w:asciiTheme="minorHAnsi" w:hAnsiTheme="minorHAnsi"/>
        </w:rPr>
        <w:t xml:space="preserve"> Informar sobre la realización de operaciones en el extranjero y de sus efectos en la información financiera gubernamental:</w:t>
      </w:r>
    </w:p>
    <w:p w:rsidR="00D34304" w:rsidRPr="00D34304" w:rsidRDefault="00D34304" w:rsidP="00D34304">
      <w:pPr>
        <w:jc w:val="both"/>
        <w:rPr>
          <w:rFonts w:asciiTheme="minorHAnsi" w:hAnsiTheme="minorHAnsi"/>
        </w:rPr>
      </w:pPr>
      <w:r w:rsidRPr="00D34304">
        <w:rPr>
          <w:rFonts w:asciiTheme="minorHAnsi" w:hAnsiTheme="minorHAnsi"/>
        </w:rPr>
        <w:t>No aplica.</w:t>
      </w: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c)</w:t>
      </w:r>
      <w:r w:rsidRPr="00D34304">
        <w:rPr>
          <w:rFonts w:asciiTheme="minorHAnsi" w:hAnsiTheme="minorHAnsi"/>
        </w:rPr>
        <w:t xml:space="preserve"> Método de valuación de la inversión en acciones de Compañías subsidiarias no consolidadas y asociadas:</w:t>
      </w:r>
    </w:p>
    <w:p w:rsidR="00D34304" w:rsidRPr="00D34304" w:rsidRDefault="00D34304" w:rsidP="00D34304">
      <w:pPr>
        <w:jc w:val="both"/>
        <w:rPr>
          <w:rFonts w:asciiTheme="minorHAnsi" w:hAnsiTheme="minorHAnsi"/>
        </w:rPr>
      </w:pPr>
      <w:r w:rsidRPr="00D34304">
        <w:rPr>
          <w:rFonts w:asciiTheme="minorHAnsi" w:hAnsiTheme="minorHAnsi"/>
        </w:rPr>
        <w:t>No aplica.</w:t>
      </w:r>
    </w:p>
    <w:p w:rsidR="00D34304" w:rsidRPr="00D34304" w:rsidRDefault="00D34304" w:rsidP="00D34304">
      <w:pPr>
        <w:spacing w:after="0" w:line="240" w:lineRule="auto"/>
        <w:jc w:val="both"/>
        <w:rPr>
          <w:rFonts w:asciiTheme="minorHAnsi" w:hAnsiTheme="minorHAnsi"/>
          <w:b/>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d)</w:t>
      </w:r>
      <w:r w:rsidRPr="00D34304">
        <w:rPr>
          <w:rFonts w:asciiTheme="minorHAnsi" w:hAnsiTheme="minorHAnsi"/>
        </w:rPr>
        <w:t xml:space="preserve"> Sistema y método de valuación de inventarios y costo de lo vendido:</w:t>
      </w:r>
    </w:p>
    <w:p w:rsidR="00D34304" w:rsidRPr="00D34304" w:rsidRDefault="00D34304" w:rsidP="00D34304">
      <w:pPr>
        <w:jc w:val="both"/>
        <w:rPr>
          <w:rFonts w:asciiTheme="minorHAnsi" w:hAnsiTheme="minorHAnsi"/>
        </w:rPr>
      </w:pPr>
      <w:r w:rsidRPr="00D34304">
        <w:rPr>
          <w:rFonts w:asciiTheme="minorHAnsi" w:hAnsiTheme="minorHAnsi"/>
        </w:rPr>
        <w:t>No aplica.</w:t>
      </w:r>
    </w:p>
    <w:p w:rsidR="00D34304" w:rsidRPr="00D34304" w:rsidRDefault="00D34304" w:rsidP="00D34304">
      <w:pPr>
        <w:spacing w:after="0" w:line="240" w:lineRule="auto"/>
        <w:jc w:val="both"/>
        <w:rPr>
          <w:rFonts w:asciiTheme="minorHAnsi" w:hAnsiTheme="minorHAnsi"/>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e)</w:t>
      </w:r>
      <w:r w:rsidRPr="00D34304">
        <w:rPr>
          <w:rFonts w:asciiTheme="minorHAnsi" w:hAnsiTheme="minorHAnsi"/>
        </w:rPr>
        <w:t xml:space="preserve"> Beneficios a empleados: revelar el cálculo de la reserva actuarial, valor presente de los ingresos esperados comparado con el valor presente de la estimación de gastos tanto de los beneficiarios actuales como futuros:</w:t>
      </w:r>
    </w:p>
    <w:p w:rsidR="00D34304" w:rsidRPr="00D34304" w:rsidRDefault="00D34304" w:rsidP="00D34304">
      <w:pPr>
        <w:jc w:val="both"/>
        <w:rPr>
          <w:rFonts w:asciiTheme="minorHAnsi" w:hAnsiTheme="minorHAnsi"/>
        </w:rPr>
      </w:pPr>
      <w:r w:rsidRPr="00D34304">
        <w:rPr>
          <w:rFonts w:asciiTheme="minorHAnsi" w:hAnsiTheme="minorHAnsi"/>
        </w:rPr>
        <w:lastRenderedPageBreak/>
        <w:t>No aplica.</w:t>
      </w:r>
    </w:p>
    <w:p w:rsidR="00D34304" w:rsidRPr="00D34304" w:rsidRDefault="00D34304" w:rsidP="00D34304">
      <w:pPr>
        <w:spacing w:after="0" w:line="240" w:lineRule="auto"/>
        <w:jc w:val="both"/>
        <w:rPr>
          <w:rFonts w:asciiTheme="minorHAnsi" w:hAnsiTheme="minorHAnsi"/>
          <w:b/>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f)</w:t>
      </w:r>
      <w:r w:rsidRPr="00D34304">
        <w:rPr>
          <w:rFonts w:asciiTheme="minorHAnsi" w:hAnsiTheme="minorHAnsi"/>
        </w:rPr>
        <w:t xml:space="preserve"> Provisiones: objetivo de su creación: Disponer de recursos para el pago de finiquitos y demandas </w:t>
      </w:r>
      <w:r w:rsidRPr="00225603">
        <w:rPr>
          <w:rFonts w:asciiTheme="minorHAnsi" w:hAnsiTheme="minorHAnsi"/>
        </w:rPr>
        <w:t xml:space="preserve">laborales.  Monto $ </w:t>
      </w:r>
      <w:r w:rsidR="00225603" w:rsidRPr="00225603">
        <w:rPr>
          <w:rFonts w:asciiTheme="minorHAnsi" w:hAnsiTheme="minorHAnsi"/>
        </w:rPr>
        <w:t>6, 264,777.59 (Seis Millones</w:t>
      </w:r>
      <w:r w:rsidRPr="00225603">
        <w:rPr>
          <w:rFonts w:asciiTheme="minorHAnsi" w:hAnsiTheme="minorHAnsi"/>
        </w:rPr>
        <w:t xml:space="preserve"> Dos</w:t>
      </w:r>
      <w:r w:rsidR="00225603" w:rsidRPr="00225603">
        <w:rPr>
          <w:rFonts w:asciiTheme="minorHAnsi" w:hAnsiTheme="minorHAnsi"/>
        </w:rPr>
        <w:t>cientos Sesenta y Cuatro Mil Setecientos Setenta  y Siete Pesos 59</w:t>
      </w:r>
      <w:r w:rsidRPr="00225603">
        <w:rPr>
          <w:rFonts w:asciiTheme="minorHAnsi" w:hAnsiTheme="minorHAnsi"/>
        </w:rPr>
        <w:t xml:space="preserve">/100 </w:t>
      </w:r>
      <w:proofErr w:type="spellStart"/>
      <w:r w:rsidRPr="00225603">
        <w:rPr>
          <w:rFonts w:asciiTheme="minorHAnsi" w:hAnsiTheme="minorHAnsi"/>
        </w:rPr>
        <w:t>m.n</w:t>
      </w:r>
      <w:proofErr w:type="spellEnd"/>
      <w:r w:rsidRPr="00225603">
        <w:rPr>
          <w:rFonts w:asciiTheme="minorHAnsi" w:hAnsiTheme="minorHAnsi"/>
        </w:rPr>
        <w:t>)   plazo: Indefinido</w:t>
      </w:r>
    </w:p>
    <w:p w:rsidR="00D34304" w:rsidRPr="00D34304" w:rsidRDefault="00D34304" w:rsidP="00D34304">
      <w:pPr>
        <w:spacing w:after="0" w:line="240" w:lineRule="auto"/>
        <w:jc w:val="both"/>
        <w:rPr>
          <w:rFonts w:asciiTheme="minorHAnsi" w:hAnsiTheme="minorHAnsi"/>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g)</w:t>
      </w:r>
      <w:r w:rsidRPr="00D34304">
        <w:rPr>
          <w:rFonts w:asciiTheme="minorHAnsi" w:hAnsiTheme="minorHAnsi"/>
        </w:rPr>
        <w:t xml:space="preserve"> Reservas: objetivo de su creación, monto y plazo:</w:t>
      </w:r>
    </w:p>
    <w:p w:rsidR="00D34304" w:rsidRPr="00D34304" w:rsidRDefault="00D34304" w:rsidP="00225603">
      <w:pPr>
        <w:ind w:left="1416" w:hanging="1416"/>
        <w:jc w:val="both"/>
        <w:rPr>
          <w:rFonts w:asciiTheme="minorHAnsi" w:hAnsiTheme="minorHAnsi"/>
        </w:rPr>
      </w:pPr>
      <w:r w:rsidRPr="000A3ED0">
        <w:rPr>
          <w:rFonts w:asciiTheme="minorHAnsi" w:hAnsiTheme="minorHAnsi"/>
        </w:rPr>
        <w:t xml:space="preserve">No aplica. </w:t>
      </w:r>
    </w:p>
    <w:p w:rsidR="00D34304" w:rsidRPr="00D34304" w:rsidRDefault="00D34304" w:rsidP="00D34304">
      <w:pPr>
        <w:spacing w:after="0" w:line="240" w:lineRule="auto"/>
        <w:jc w:val="both"/>
        <w:rPr>
          <w:rFonts w:asciiTheme="minorHAnsi" w:hAnsiTheme="minorHAnsi"/>
          <w:b/>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h)</w:t>
      </w:r>
      <w:r w:rsidRPr="00D34304">
        <w:rPr>
          <w:rFonts w:asciiTheme="minorHAnsi" w:hAnsiTheme="minorHAnsi"/>
        </w:rPr>
        <w:t xml:space="preserve"> Cambios en políticas contables y corrección de errores junto con la revelación de los efectos que se tendrá en la información financiera del ente público, ya sea retrospectivos o prospectivos:</w:t>
      </w:r>
    </w:p>
    <w:p w:rsidR="00D34304" w:rsidRPr="00D34304" w:rsidRDefault="00D34304" w:rsidP="00D34304">
      <w:pPr>
        <w:jc w:val="both"/>
        <w:rPr>
          <w:rFonts w:asciiTheme="minorHAnsi" w:hAnsiTheme="minorHAnsi"/>
        </w:rPr>
      </w:pPr>
      <w:r>
        <w:rPr>
          <w:rFonts w:asciiTheme="minorHAnsi" w:hAnsiTheme="minorHAnsi"/>
        </w:rPr>
        <w:t xml:space="preserve">El Instituto como </w:t>
      </w:r>
      <w:r w:rsidRPr="00D34304">
        <w:rPr>
          <w:rFonts w:asciiTheme="minorHAnsi" w:hAnsiTheme="minorHAnsi"/>
        </w:rPr>
        <w:t xml:space="preserve">Organismo Autónomo a partir del ejercicio fiscal 2014 ha venido presentando la nueva estructura de registro contable y presupuestal normada por el CONAC. Asimismo, las guías contabilizadoras, la matriz de conversión y los nuevos procesos de Registro que de ellas emanan han sido aplicadas en el SIHP </w:t>
      </w: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i)</w:t>
      </w:r>
      <w:r w:rsidRPr="00D34304">
        <w:rPr>
          <w:rFonts w:asciiTheme="minorHAnsi" w:hAnsiTheme="minorHAnsi"/>
        </w:rPr>
        <w:t xml:space="preserve"> Reclasificaciones: Se deben revelar todos aquellos movimientos entre cuentas por efectos de cambios en los tipos de operaciones:</w:t>
      </w: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rPr>
        <w:t>No aplica</w:t>
      </w:r>
    </w:p>
    <w:p w:rsidR="00D34304" w:rsidRPr="00D34304" w:rsidRDefault="00D34304" w:rsidP="00D34304">
      <w:pPr>
        <w:spacing w:after="0" w:line="240" w:lineRule="auto"/>
        <w:jc w:val="both"/>
        <w:rPr>
          <w:rFonts w:asciiTheme="minorHAnsi" w:hAnsiTheme="minorHAnsi"/>
          <w:b/>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j)</w:t>
      </w:r>
      <w:r w:rsidRPr="00D34304">
        <w:rPr>
          <w:rFonts w:asciiTheme="minorHAnsi" w:hAnsiTheme="minorHAnsi"/>
        </w:rPr>
        <w:t xml:space="preserve"> Depuración y cancelación de saldos:</w:t>
      </w:r>
    </w:p>
    <w:p w:rsidR="00D34304" w:rsidRPr="00DB0F1F" w:rsidRDefault="00D34304" w:rsidP="00D34304">
      <w:pPr>
        <w:spacing w:after="0" w:line="240" w:lineRule="auto"/>
        <w:jc w:val="both"/>
        <w:rPr>
          <w:rFonts w:ascii="Arial monospaced for SAP" w:hAnsi="Arial monospaced for SAP" w:cs="Calibri"/>
          <w:sz w:val="20"/>
          <w:szCs w:val="20"/>
        </w:rPr>
      </w:pPr>
      <w:r w:rsidRPr="00D34304">
        <w:rPr>
          <w:rFonts w:asciiTheme="minorHAnsi" w:hAnsiTheme="minorHAnsi"/>
        </w:rPr>
        <w:t>No aplica</w:t>
      </w:r>
      <w:r w:rsidRPr="00D34304">
        <w:rPr>
          <w:rFonts w:asciiTheme="minorHAnsi" w:hAnsiTheme="minorHAnsi"/>
        </w:rPr>
        <w:tab/>
      </w:r>
      <w:r w:rsidRPr="00DB0F1F">
        <w:rPr>
          <w:rFonts w:ascii="Arial monospaced for SAP" w:hAnsi="Arial monospaced for SAP"/>
          <w:sz w:val="20"/>
          <w:szCs w:val="20"/>
        </w:rPr>
        <w:tab/>
      </w:r>
      <w:r w:rsidRPr="00DB0F1F">
        <w:rPr>
          <w:rFonts w:ascii="Arial monospaced for SAP" w:hAnsi="Arial monospaced for SAP"/>
          <w:sz w:val="20"/>
          <w:szCs w:val="20"/>
        </w:rPr>
        <w:tab/>
      </w:r>
    </w:p>
    <w:p w:rsidR="00D34304" w:rsidRPr="00E74967" w:rsidRDefault="00D34304"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F63768" w:rsidRDefault="007D1E76" w:rsidP="007D1E76">
      <w:pPr>
        <w:spacing w:after="0" w:line="240" w:lineRule="auto"/>
        <w:jc w:val="both"/>
        <w:rPr>
          <w:rFonts w:asciiTheme="minorHAnsi" w:hAnsiTheme="minorHAnsi" w:cs="Calibr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a)</w:t>
      </w:r>
      <w:r w:rsidRPr="00F63768">
        <w:rPr>
          <w:rFonts w:asciiTheme="minorHAnsi" w:hAnsiTheme="minorHAnsi"/>
        </w:rPr>
        <w:t xml:space="preserve"> Activos en moneda extranjera:</w:t>
      </w:r>
    </w:p>
    <w:p w:rsidR="00F63768" w:rsidRPr="00F63768" w:rsidRDefault="00F63768" w:rsidP="00F63768">
      <w:pPr>
        <w:jc w:val="both"/>
        <w:rPr>
          <w:rFonts w:asciiTheme="minorHAnsi" w:hAnsiTheme="minorHAnsi"/>
        </w:rPr>
      </w:pPr>
      <w:r w:rsidRPr="00F63768">
        <w:rPr>
          <w:rFonts w:asciiTheme="minorHAnsi" w:hAnsiTheme="minorHAnsi"/>
        </w:rPr>
        <w:t>Para el caso de activos fijos valuados en moneda extranjera, es importante revaluarlos al fin de mes.</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b)</w:t>
      </w:r>
      <w:r w:rsidRPr="00F63768">
        <w:rPr>
          <w:rFonts w:asciiTheme="minorHAnsi" w:hAnsiTheme="minorHAnsi"/>
        </w:rPr>
        <w:t xml:space="preserve"> Pasivos en moneda extranjera: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 xml:space="preserve">c) </w:t>
      </w:r>
      <w:r w:rsidRPr="00F63768">
        <w:rPr>
          <w:rFonts w:asciiTheme="minorHAnsi" w:hAnsiTheme="minorHAnsi"/>
        </w:rPr>
        <w:t>Posición en moneda extranjera: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d)</w:t>
      </w:r>
      <w:r w:rsidRPr="00F63768">
        <w:rPr>
          <w:rFonts w:asciiTheme="minorHAnsi" w:hAnsiTheme="minorHAnsi"/>
        </w:rPr>
        <w:t xml:space="preserve"> Tipo de cambio:</w:t>
      </w:r>
    </w:p>
    <w:p w:rsidR="00F63768" w:rsidRPr="00F63768" w:rsidRDefault="00F63768" w:rsidP="00F63768">
      <w:pPr>
        <w:jc w:val="both"/>
        <w:rPr>
          <w:rFonts w:asciiTheme="minorHAnsi" w:hAnsiTheme="minorHAnsi"/>
        </w:rPr>
      </w:pPr>
      <w:r w:rsidRPr="00F63768">
        <w:rPr>
          <w:rFonts w:asciiTheme="minorHAnsi" w:hAnsiTheme="minorHAnsi"/>
        </w:rPr>
        <w:t>El Publicado oficialmente por Banco de México al fin de cada mes.</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 xml:space="preserve">e) </w:t>
      </w:r>
      <w:r w:rsidRPr="00F63768">
        <w:rPr>
          <w:rFonts w:asciiTheme="minorHAnsi" w:hAnsiTheme="minorHAnsi"/>
        </w:rPr>
        <w:t>Equivalente en moneda nacional:</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Lo anterior por cada tipo de moneda extranjera que se encuentre en los rubros de activo y pasivo.</w:t>
      </w:r>
    </w:p>
    <w:p w:rsidR="00F63768" w:rsidRPr="00F63768" w:rsidRDefault="00F63768" w:rsidP="00F63768">
      <w:pPr>
        <w:spacing w:after="0" w:line="240" w:lineRule="auto"/>
        <w:jc w:val="both"/>
        <w:rPr>
          <w:rFonts w:asciiTheme="minorHAnsi" w:hAnsiTheme="minorHAns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Adicionalmente se informará sobre los métodos de protección de riesgo por variaciones en el tipo de cambio.</w:t>
      </w:r>
    </w:p>
    <w:p w:rsidR="00F63768" w:rsidRPr="00F63768" w:rsidRDefault="00F63768" w:rsidP="00F63768">
      <w:pPr>
        <w:spacing w:after="0" w:line="240" w:lineRule="auto"/>
        <w:jc w:val="both"/>
        <w:rPr>
          <w:rFonts w:asciiTheme="minorHAnsi" w:hAnsiTheme="minorHAnsi"/>
          <w:b/>
        </w:rPr>
      </w:pPr>
    </w:p>
    <w:p w:rsidR="00F63768" w:rsidRDefault="00F63768" w:rsidP="00F63768">
      <w:pPr>
        <w:spacing w:after="0" w:line="240" w:lineRule="auto"/>
        <w:jc w:val="both"/>
        <w:rPr>
          <w:rFonts w:asciiTheme="minorHAnsi" w:hAnsiTheme="minorHAnsi" w:cs="Calibri"/>
        </w:rPr>
      </w:pPr>
      <w:r w:rsidRPr="00F63768">
        <w:rPr>
          <w:rFonts w:asciiTheme="minorHAnsi" w:hAnsiTheme="minorHAnsi" w:cs="Calibri"/>
        </w:rPr>
        <w:t>Lo anterior por cada tipo de moneda extranjera que se encuentre en los rubros de activo y pasivo.</w:t>
      </w:r>
    </w:p>
    <w:p w:rsidR="00F63768" w:rsidRPr="00F63768" w:rsidRDefault="00F63768" w:rsidP="00F63768">
      <w:pPr>
        <w:spacing w:after="0" w:line="240" w:lineRule="auto"/>
        <w:jc w:val="both"/>
        <w:rPr>
          <w:rFonts w:asciiTheme="minorHAnsi" w:hAnsiTheme="minorHAnsi" w:cs="Calibri"/>
        </w:rPr>
      </w:pPr>
    </w:p>
    <w:p w:rsidR="00F63768" w:rsidRPr="00F63768" w:rsidRDefault="00F63768" w:rsidP="00F63768">
      <w:pPr>
        <w:spacing w:after="0" w:line="240" w:lineRule="auto"/>
        <w:jc w:val="both"/>
        <w:rPr>
          <w:rFonts w:asciiTheme="minorHAnsi" w:hAnsiTheme="minorHAnsi" w:cs="Calibri"/>
        </w:rPr>
      </w:pPr>
      <w:r w:rsidRPr="00F63768">
        <w:rPr>
          <w:rFonts w:asciiTheme="minorHAnsi" w:hAnsiTheme="minorHAnsi" w:cs="Calibri"/>
        </w:rPr>
        <w:t>Adicionalmente se informará sobre los métodos de protección de riesgo por variaciones en el tipo de cambio.</w:t>
      </w:r>
    </w:p>
    <w:p w:rsidR="007D1E76" w:rsidRPr="00E74967" w:rsidRDefault="007D1E76" w:rsidP="007D1E76">
      <w:pPr>
        <w:spacing w:after="0" w:line="240" w:lineRule="auto"/>
        <w:jc w:val="both"/>
        <w:rPr>
          <w:rFonts w:cs="Calibri"/>
        </w:rPr>
      </w:pPr>
    </w:p>
    <w:p w:rsidR="00F63768" w:rsidRDefault="00F63768"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F63768" w:rsidRDefault="007D1E76" w:rsidP="007D1E76">
      <w:pPr>
        <w:spacing w:after="0" w:line="240" w:lineRule="auto"/>
        <w:jc w:val="both"/>
        <w:rPr>
          <w:rFonts w:asciiTheme="minorHAnsi" w:hAnsiTheme="minorHAnsi" w:cs="Calibr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a)</w:t>
      </w:r>
      <w:r w:rsidRPr="00F63768">
        <w:rPr>
          <w:rFonts w:asciiTheme="minorHAnsi" w:hAnsiTheme="minorHAnsi"/>
        </w:rPr>
        <w:t xml:space="preserve"> Vida útil o porcentajes de depreciación, deterioro o amortización utilizados en los diferentes tipos de activos:</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b)</w:t>
      </w:r>
      <w:r w:rsidRPr="00F63768">
        <w:rPr>
          <w:rFonts w:asciiTheme="minorHAnsi" w:hAnsiTheme="minorHAnsi"/>
        </w:rPr>
        <w:t xml:space="preserve"> Cambios en el porcentaje de depreciación o valor residual de los activos:</w:t>
      </w:r>
    </w:p>
    <w:p w:rsidR="00F63768" w:rsidRPr="00F63768" w:rsidRDefault="00F63768" w:rsidP="00F63768">
      <w:pPr>
        <w:jc w:val="both"/>
        <w:rPr>
          <w:rFonts w:asciiTheme="minorHAnsi" w:hAnsiTheme="minorHAnsi"/>
        </w:rPr>
      </w:pPr>
      <w:r w:rsidRPr="00F63768">
        <w:rPr>
          <w:rFonts w:asciiTheme="minorHAnsi" w:hAnsiTheme="minorHAnsi"/>
        </w:rPr>
        <w:t xml:space="preserve">De conformidad con la norma de CONAC y los alcances del SIHP, actualmente sólo pueden considerarse las 40 clases de activos vigentes. </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c)</w:t>
      </w:r>
      <w:r w:rsidRPr="00F63768">
        <w:rPr>
          <w:rFonts w:asciiTheme="minorHAnsi" w:hAnsiTheme="minorHAnsi"/>
        </w:rPr>
        <w:t xml:space="preserve"> Importe de los gastos capitalizados en el ejercicio, tanto financieros como de investigación y desarrollo:</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d)</w:t>
      </w:r>
      <w:r w:rsidRPr="00F63768">
        <w:rPr>
          <w:rFonts w:asciiTheme="minorHAnsi" w:hAnsiTheme="minorHAnsi"/>
        </w:rPr>
        <w:t xml:space="preserve"> Riegos por tipo de cambio o tipo de interés de las inversiones financieras:</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 xml:space="preserve">e) </w:t>
      </w:r>
      <w:r w:rsidRPr="00F63768">
        <w:rPr>
          <w:rFonts w:asciiTheme="minorHAnsi" w:hAnsiTheme="minorHAnsi"/>
        </w:rPr>
        <w:t>Valor activado en el ejercicio de los bienes construidos por la entidad:</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f)</w:t>
      </w:r>
      <w:r w:rsidRPr="00F63768">
        <w:rPr>
          <w:rFonts w:asciiTheme="minorHAnsi" w:hAnsi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g)</w:t>
      </w:r>
      <w:r w:rsidRPr="00F63768">
        <w:rPr>
          <w:rFonts w:asciiTheme="minorHAnsi" w:hAnsiTheme="minorHAnsi"/>
        </w:rPr>
        <w:t xml:space="preserve"> Desmantelamiento de Activos, procedimientos, implicaciones, efectos contables:</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h)</w:t>
      </w:r>
      <w:r w:rsidRPr="00F63768">
        <w:rPr>
          <w:rFonts w:asciiTheme="minorHAnsi" w:hAnsiTheme="minorHAnsi"/>
        </w:rPr>
        <w:t xml:space="preserve"> Administración de activos; planeación con el objetivo de que el ente los utilice de manera más efectiva:</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Adicionalmente, se deben incluir las explicaciones de las principales variaciones en el activo, en cuadros comparativos como sigue:</w:t>
      </w:r>
    </w:p>
    <w:p w:rsidR="00F63768" w:rsidRPr="00F63768" w:rsidRDefault="00F63768" w:rsidP="00F63768">
      <w:pPr>
        <w:spacing w:after="0" w:line="240" w:lineRule="auto"/>
        <w:jc w:val="both"/>
        <w:rPr>
          <w:rFonts w:asciiTheme="minorHAnsi" w:hAnsiTheme="minorHAns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a)</w:t>
      </w:r>
      <w:r w:rsidRPr="00F63768">
        <w:rPr>
          <w:rFonts w:asciiTheme="minorHAnsi" w:hAnsiTheme="minorHAnsi"/>
        </w:rPr>
        <w:t xml:space="preserve"> Inversiones en valores:</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 xml:space="preserve"> 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b)</w:t>
      </w:r>
      <w:r w:rsidRPr="00F63768">
        <w:rPr>
          <w:rFonts w:asciiTheme="minorHAnsi" w:hAnsiTheme="minorHAnsi"/>
        </w:rPr>
        <w:t xml:space="preserve"> Patrimonio de Organismos descentralizados de Control Presupuestario Indirecto:</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 xml:space="preserve"> 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c)</w:t>
      </w:r>
      <w:r w:rsidRPr="00F63768">
        <w:rPr>
          <w:rFonts w:asciiTheme="minorHAnsi" w:hAnsiTheme="minorHAnsi"/>
        </w:rPr>
        <w:t xml:space="preserve"> Inversiones en empresas de participación mayoritaria:</w:t>
      </w:r>
    </w:p>
    <w:p w:rsidR="00F63768" w:rsidRPr="00F63768" w:rsidRDefault="00F63768" w:rsidP="00F63768">
      <w:pPr>
        <w:spacing w:after="0" w:line="240" w:lineRule="auto"/>
        <w:jc w:val="both"/>
        <w:rPr>
          <w:rFonts w:asciiTheme="minorHAnsi" w:hAnsiTheme="minorHAnsi"/>
          <w:b/>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d)</w:t>
      </w:r>
      <w:r w:rsidRPr="00F63768">
        <w:rPr>
          <w:rFonts w:asciiTheme="minorHAnsi" w:hAnsiTheme="minorHAnsi"/>
        </w:rPr>
        <w:t xml:space="preserve"> Inversiones en empresas de participación minoritaria: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e)</w:t>
      </w:r>
      <w:r w:rsidRPr="00F63768">
        <w:rPr>
          <w:rFonts w:asciiTheme="minorHAnsi" w:hAnsiTheme="minorHAnsi"/>
        </w:rPr>
        <w:t xml:space="preserve"> Patrimonio de organismos descentralizados de control presupuestario directo, según corresponda:</w:t>
      </w:r>
    </w:p>
    <w:p w:rsidR="00F63768" w:rsidRPr="00F63768" w:rsidRDefault="00F63768" w:rsidP="00F63768">
      <w:pPr>
        <w:spacing w:after="0" w:line="240" w:lineRule="auto"/>
        <w:jc w:val="both"/>
        <w:rPr>
          <w:rFonts w:asciiTheme="minorHAnsi" w:hAnsiTheme="minorHAnsi"/>
          <w:b/>
        </w:rPr>
      </w:pPr>
      <w:r w:rsidRPr="00F63768">
        <w:rPr>
          <w:rFonts w:asciiTheme="minorHAnsi" w:hAnsiTheme="minorHAnsi"/>
        </w:rPr>
        <w:t xml:space="preserve"> No aplica</w:t>
      </w:r>
    </w:p>
    <w:p w:rsidR="00F63768" w:rsidRPr="00E74967" w:rsidRDefault="00F63768"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1E2AD7" w:rsidRPr="001E2AD7" w:rsidRDefault="001E2AD7" w:rsidP="001E2AD7">
      <w:pPr>
        <w:spacing w:after="0" w:line="240" w:lineRule="auto"/>
        <w:jc w:val="both"/>
        <w:rPr>
          <w:rFonts w:asciiTheme="minorHAnsi" w:hAnsiTheme="minorHAnsi"/>
        </w:rPr>
      </w:pPr>
      <w:r w:rsidRPr="001E2AD7">
        <w:rPr>
          <w:rFonts w:asciiTheme="minorHAnsi" w:hAnsiTheme="minorHAnsi"/>
          <w:b/>
        </w:rPr>
        <w:t>a)</w:t>
      </w:r>
      <w:r w:rsidRPr="001E2AD7">
        <w:rPr>
          <w:rFonts w:asciiTheme="minorHAnsi" w:hAnsiTheme="minorHAnsi"/>
        </w:rPr>
        <w:t xml:space="preserve"> Por ramo administrativo que los reporta:</w:t>
      </w:r>
    </w:p>
    <w:p w:rsidR="001E2AD7" w:rsidRPr="001E2AD7" w:rsidRDefault="001E2AD7" w:rsidP="001E2AD7">
      <w:pPr>
        <w:spacing w:after="0" w:line="240" w:lineRule="auto"/>
        <w:jc w:val="both"/>
        <w:rPr>
          <w:rFonts w:asciiTheme="minorHAnsi" w:hAnsiTheme="minorHAnsi"/>
        </w:rPr>
      </w:pPr>
      <w:r w:rsidRPr="001E2AD7">
        <w:rPr>
          <w:rFonts w:asciiTheme="minorHAnsi" w:hAnsiTheme="minorHAnsi"/>
        </w:rPr>
        <w:t xml:space="preserve">No aplica. </w:t>
      </w:r>
    </w:p>
    <w:p w:rsidR="001E2AD7" w:rsidRPr="001E2AD7" w:rsidRDefault="001E2AD7" w:rsidP="001E2AD7">
      <w:pPr>
        <w:spacing w:after="0" w:line="240" w:lineRule="auto"/>
        <w:jc w:val="both"/>
        <w:rPr>
          <w:rFonts w:asciiTheme="minorHAnsi" w:hAnsiTheme="minorHAnsi"/>
        </w:rPr>
      </w:pPr>
    </w:p>
    <w:p w:rsidR="001E2AD7" w:rsidRPr="001E2AD7" w:rsidRDefault="001E2AD7" w:rsidP="001E2AD7">
      <w:pPr>
        <w:spacing w:after="0" w:line="240" w:lineRule="auto"/>
        <w:jc w:val="both"/>
        <w:rPr>
          <w:rFonts w:asciiTheme="minorHAnsi" w:hAnsiTheme="minorHAnsi"/>
        </w:rPr>
      </w:pPr>
      <w:r w:rsidRPr="001E2AD7">
        <w:rPr>
          <w:rFonts w:asciiTheme="minorHAnsi" w:hAnsiTheme="minorHAnsi"/>
          <w:b/>
        </w:rPr>
        <w:t>b)</w:t>
      </w:r>
      <w:r w:rsidRPr="001E2AD7">
        <w:rPr>
          <w:rFonts w:asciiTheme="minorHAnsi" w:hAnsiTheme="minorHAnsi"/>
        </w:rPr>
        <w:t xml:space="preserve"> Enlistar los de mayor monto de disponibilidad, relacionando aquéllos que conforman el 80% de las disponibilidades:</w:t>
      </w:r>
    </w:p>
    <w:p w:rsidR="001E2AD7" w:rsidRPr="001E2AD7" w:rsidRDefault="001E2AD7" w:rsidP="001E2AD7">
      <w:pPr>
        <w:spacing w:after="0" w:line="240" w:lineRule="auto"/>
        <w:jc w:val="both"/>
        <w:rPr>
          <w:rFonts w:asciiTheme="minorHAnsi" w:hAnsiTheme="minorHAnsi"/>
        </w:rPr>
      </w:pPr>
      <w:r w:rsidRPr="001E2AD7">
        <w:rPr>
          <w:rFonts w:asciiTheme="minorHAnsi" w:hAnsiTheme="minorHAnsi"/>
        </w:rPr>
        <w:t>No aplica.</w:t>
      </w:r>
    </w:p>
    <w:p w:rsidR="007D1E76" w:rsidRDefault="007D1E76" w:rsidP="007D1E76">
      <w:pPr>
        <w:spacing w:after="0" w:line="240" w:lineRule="auto"/>
        <w:jc w:val="both"/>
        <w:rPr>
          <w:rFonts w:cs="Calibri"/>
        </w:rPr>
      </w:pPr>
    </w:p>
    <w:p w:rsidR="001E2AD7" w:rsidRPr="00E74967" w:rsidRDefault="001E2AD7"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2E0D8B" w:rsidRPr="002E0D8B" w:rsidRDefault="002E0D8B" w:rsidP="002E0D8B">
      <w:pPr>
        <w:spacing w:after="0" w:line="240" w:lineRule="auto"/>
        <w:jc w:val="both"/>
        <w:rPr>
          <w:rFonts w:asciiTheme="minorHAnsi" w:hAnsiTheme="minorHAnsi"/>
        </w:rPr>
      </w:pPr>
      <w:r w:rsidRPr="002E0D8B">
        <w:rPr>
          <w:rFonts w:asciiTheme="minorHAnsi" w:hAnsiTheme="minorHAnsi"/>
          <w:b/>
        </w:rPr>
        <w:t>a)</w:t>
      </w:r>
      <w:r w:rsidRPr="002E0D8B">
        <w:rPr>
          <w:rFonts w:asciiTheme="minorHAnsi" w:hAnsiTheme="minorHAnsi"/>
        </w:rPr>
        <w:t xml:space="preserve"> Análisis del comportamiento de la recaudación correspondiente al ente público o cualquier tipo de ingreso, de forma separada los ingresos locales de los federales:</w:t>
      </w:r>
    </w:p>
    <w:p w:rsidR="002E0D8B" w:rsidRPr="002E0D8B" w:rsidRDefault="002E0D8B" w:rsidP="002E0D8B">
      <w:pPr>
        <w:jc w:val="both"/>
        <w:rPr>
          <w:rFonts w:asciiTheme="minorHAnsi" w:hAnsiTheme="minorHAnsi"/>
        </w:rPr>
      </w:pPr>
      <w:r w:rsidRPr="002E0D8B">
        <w:rPr>
          <w:rFonts w:asciiTheme="minorHAnsi" w:hAnsiTheme="minorHAnsi"/>
        </w:rPr>
        <w:t>Los ingresos que tenemos son estatales y se reciben por medio de Subsidios a través de la Secretaria de Finanzas, Inversión y Administración y se han recibido de acuerdo a lo programado mensualmente.</w:t>
      </w:r>
    </w:p>
    <w:p w:rsidR="002E0D8B" w:rsidRPr="002E0D8B" w:rsidRDefault="002E0D8B" w:rsidP="002E0D8B">
      <w:pPr>
        <w:spacing w:after="0" w:line="240" w:lineRule="auto"/>
        <w:jc w:val="both"/>
        <w:rPr>
          <w:rFonts w:asciiTheme="minorHAnsi" w:hAnsiTheme="minorHAnsi"/>
        </w:rPr>
      </w:pPr>
    </w:p>
    <w:p w:rsidR="002E0D8B" w:rsidRPr="002E0D8B" w:rsidRDefault="002E0D8B" w:rsidP="002E0D8B">
      <w:pPr>
        <w:spacing w:after="0" w:line="240" w:lineRule="auto"/>
        <w:jc w:val="both"/>
        <w:rPr>
          <w:rFonts w:asciiTheme="minorHAnsi" w:hAnsiTheme="minorHAnsi"/>
        </w:rPr>
      </w:pPr>
      <w:r w:rsidRPr="002E0D8B">
        <w:rPr>
          <w:rFonts w:asciiTheme="minorHAnsi" w:hAnsiTheme="minorHAnsi"/>
          <w:b/>
        </w:rPr>
        <w:t>b)</w:t>
      </w:r>
      <w:r w:rsidRPr="002E0D8B">
        <w:rPr>
          <w:rFonts w:asciiTheme="minorHAnsi" w:hAnsiTheme="minorHAnsi"/>
        </w:rPr>
        <w:t xml:space="preserve"> Proyección de la recaudación e ingresos en el mediano plazo:</w:t>
      </w:r>
    </w:p>
    <w:p w:rsidR="002E0D8B" w:rsidRPr="002E0D8B" w:rsidRDefault="000A3ED0" w:rsidP="002E0D8B">
      <w:pPr>
        <w:jc w:val="both"/>
        <w:rPr>
          <w:rFonts w:asciiTheme="minorHAnsi" w:hAnsiTheme="minorHAnsi"/>
        </w:rPr>
      </w:pPr>
      <w:r>
        <w:rPr>
          <w:rFonts w:asciiTheme="minorHAnsi" w:hAnsiTheme="minorHAnsi"/>
        </w:rPr>
        <w:t>No aplica.</w:t>
      </w:r>
    </w:p>
    <w:p w:rsidR="002E0D8B" w:rsidRDefault="002E0D8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2E0D8B" w:rsidRPr="002E0D8B" w:rsidRDefault="002E0D8B" w:rsidP="002E0D8B">
      <w:pPr>
        <w:spacing w:after="0" w:line="240" w:lineRule="auto"/>
        <w:jc w:val="both"/>
        <w:rPr>
          <w:rFonts w:asciiTheme="minorHAnsi" w:hAnsiTheme="minorHAnsi"/>
          <w:b/>
        </w:rPr>
      </w:pPr>
    </w:p>
    <w:p w:rsidR="002E0D8B" w:rsidRPr="002E0D8B" w:rsidRDefault="002E0D8B" w:rsidP="002E0D8B">
      <w:pPr>
        <w:spacing w:after="0" w:line="240" w:lineRule="auto"/>
        <w:jc w:val="both"/>
        <w:rPr>
          <w:rFonts w:asciiTheme="minorHAnsi" w:hAnsiTheme="minorHAnsi"/>
        </w:rPr>
      </w:pPr>
      <w:r w:rsidRPr="002E0D8B">
        <w:rPr>
          <w:rFonts w:asciiTheme="minorHAnsi" w:hAnsiTheme="minorHAnsi"/>
          <w:b/>
        </w:rPr>
        <w:t>a)</w:t>
      </w:r>
      <w:r w:rsidRPr="002E0D8B">
        <w:rPr>
          <w:rFonts w:asciiTheme="minorHAnsi" w:hAnsiTheme="minorHAnsi"/>
        </w:rPr>
        <w:t xml:space="preserve"> Utilizar al menos los siguientes indicadores: deuda respecto al PIB y deuda respecto a la recaudación tomando, como mínimo, un período igual o menor a 5 años.</w:t>
      </w:r>
    </w:p>
    <w:p w:rsidR="002E0D8B" w:rsidRPr="002E0D8B" w:rsidRDefault="002E0D8B" w:rsidP="002E0D8B">
      <w:pPr>
        <w:jc w:val="both"/>
        <w:rPr>
          <w:rFonts w:asciiTheme="minorHAnsi" w:hAnsiTheme="minorHAnsi"/>
        </w:rPr>
      </w:pPr>
      <w:r w:rsidRPr="002E0D8B">
        <w:rPr>
          <w:rFonts w:asciiTheme="minorHAnsi" w:hAnsiTheme="minorHAnsi"/>
        </w:rPr>
        <w:t>No aplica.</w:t>
      </w:r>
    </w:p>
    <w:p w:rsidR="002E0D8B" w:rsidRPr="002E0D8B" w:rsidRDefault="002E0D8B" w:rsidP="002E0D8B">
      <w:pPr>
        <w:spacing w:after="0" w:line="240" w:lineRule="auto"/>
        <w:jc w:val="both"/>
        <w:rPr>
          <w:rFonts w:asciiTheme="minorHAnsi" w:hAnsiTheme="minorHAnsi"/>
          <w:b/>
        </w:rPr>
      </w:pPr>
    </w:p>
    <w:p w:rsidR="002E0D8B" w:rsidRPr="002E0D8B" w:rsidRDefault="002E0D8B" w:rsidP="002E0D8B">
      <w:pPr>
        <w:spacing w:after="0" w:line="240" w:lineRule="auto"/>
        <w:jc w:val="both"/>
        <w:rPr>
          <w:rFonts w:asciiTheme="minorHAnsi" w:hAnsiTheme="minorHAnsi"/>
        </w:rPr>
      </w:pPr>
      <w:r w:rsidRPr="002E0D8B">
        <w:rPr>
          <w:rFonts w:asciiTheme="minorHAnsi" w:hAnsiTheme="minorHAnsi"/>
          <w:b/>
        </w:rPr>
        <w:t>b)</w:t>
      </w:r>
      <w:r w:rsidRPr="002E0D8B">
        <w:rPr>
          <w:rFonts w:asciiTheme="minorHAnsi" w:hAnsiTheme="minorHAnsi"/>
        </w:rPr>
        <w:t xml:space="preserve"> Información de manera agrupada por tipo de valor gubernamental o instrumento financiero en la que se considere intereses, comisiones, tasa, perfil de vencimiento y otros gastos de la deuda.</w:t>
      </w:r>
    </w:p>
    <w:p w:rsidR="002E0D8B" w:rsidRPr="002E0D8B" w:rsidRDefault="002E0D8B" w:rsidP="002E0D8B">
      <w:pPr>
        <w:spacing w:after="0" w:line="240" w:lineRule="auto"/>
        <w:jc w:val="both"/>
        <w:rPr>
          <w:rFonts w:asciiTheme="minorHAnsi" w:hAnsiTheme="minorHAnsi"/>
        </w:rPr>
      </w:pPr>
      <w:r w:rsidRPr="002E0D8B">
        <w:rPr>
          <w:rFonts w:asciiTheme="minorHAnsi" w:hAnsiTheme="minorHAnsi"/>
        </w:rPr>
        <w:t>Se anexara la información en las notas de desglose.</w:t>
      </w:r>
      <w:r w:rsidRPr="002E0D8B">
        <w:rPr>
          <w:rFonts w:asciiTheme="minorHAnsi" w:hAnsiTheme="minorHAnsi"/>
        </w:rPr>
        <w:tab/>
      </w:r>
      <w:r w:rsidRPr="002E0D8B">
        <w:rPr>
          <w:rFonts w:asciiTheme="minorHAnsi" w:hAnsiTheme="minorHAnsi"/>
        </w:rPr>
        <w:tab/>
      </w:r>
      <w:r w:rsidRPr="002E0D8B">
        <w:rPr>
          <w:rFonts w:asciiTheme="minorHAnsi" w:hAnsiTheme="minorHAnsi"/>
        </w:rPr>
        <w:tab/>
      </w:r>
      <w:r w:rsidRPr="002E0D8B">
        <w:rPr>
          <w:rFonts w:asciiTheme="minorHAnsi" w:hAnsiTheme="minorHAnsi"/>
        </w:rPr>
        <w:tab/>
      </w:r>
      <w:r w:rsidRPr="002E0D8B">
        <w:rPr>
          <w:rFonts w:asciiTheme="minorHAnsi" w:hAnsiTheme="minorHAnsi"/>
        </w:rPr>
        <w:tab/>
      </w:r>
    </w:p>
    <w:p w:rsidR="002E0D8B" w:rsidRPr="002E0D8B" w:rsidRDefault="002E0D8B" w:rsidP="002E0D8B">
      <w:pPr>
        <w:jc w:val="both"/>
        <w:rPr>
          <w:rFonts w:asciiTheme="minorHAnsi" w:hAnsiTheme="minorHAnsi"/>
        </w:rPr>
      </w:pPr>
      <w:r w:rsidRPr="002E0D8B">
        <w:rPr>
          <w:rFonts w:asciiTheme="minorHAnsi" w:hAnsiTheme="minorHAns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2E0D8B" w:rsidP="007D1E76">
      <w:pPr>
        <w:spacing w:after="0" w:line="240" w:lineRule="auto"/>
        <w:jc w:val="both"/>
        <w:rPr>
          <w:rFonts w:cs="Calibri"/>
        </w:rPr>
      </w:pPr>
      <w:r>
        <w:rPr>
          <w:rFonts w:cs="Calibri"/>
        </w:rPr>
        <w:lastRenderedPageBreak/>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1264CE" w:rsidRPr="001264CE" w:rsidRDefault="001264CE" w:rsidP="001264CE">
      <w:pPr>
        <w:spacing w:after="0" w:line="240" w:lineRule="auto"/>
        <w:jc w:val="both"/>
        <w:rPr>
          <w:rFonts w:asciiTheme="minorHAnsi" w:hAnsiTheme="minorHAnsi"/>
        </w:rPr>
      </w:pPr>
      <w:r w:rsidRPr="001264CE">
        <w:rPr>
          <w:rFonts w:asciiTheme="minorHAnsi" w:hAnsiTheme="minorHAnsi"/>
          <w:b/>
        </w:rPr>
        <w:t>a)</w:t>
      </w:r>
      <w:r w:rsidRPr="001264CE">
        <w:rPr>
          <w:rFonts w:asciiTheme="minorHAnsi" w:hAnsiTheme="minorHAnsi"/>
        </w:rPr>
        <w:t xml:space="preserve"> Principales Políticas de control interno:</w:t>
      </w:r>
    </w:p>
    <w:p w:rsidR="001264CE" w:rsidRPr="001264CE" w:rsidRDefault="001264CE" w:rsidP="001264CE">
      <w:pPr>
        <w:spacing w:after="0" w:line="240" w:lineRule="auto"/>
        <w:jc w:val="both"/>
        <w:rPr>
          <w:rFonts w:asciiTheme="minorHAnsi" w:hAnsiTheme="minorHAnsi"/>
        </w:rPr>
      </w:pPr>
      <w:r w:rsidRPr="001264CE">
        <w:rPr>
          <w:rFonts w:asciiTheme="minorHAnsi" w:hAnsiTheme="minorHAnsi"/>
        </w:rPr>
        <w:t xml:space="preserve">Se elaboraron los Lineamientos Generales de Racionalidad, Austeridad y Disciplina Presupuestal del Instituto de Acceso a la Información Pública para el Estado de Guanajuato para el ejercicio fiscal 2016, Los Lineamientos Generales de Recursos Materiales y Servicios Generales del Instituto de Acceso a la Información Pública para el Estado de </w:t>
      </w:r>
      <w:r w:rsidRPr="00CF3526">
        <w:rPr>
          <w:rFonts w:asciiTheme="minorHAnsi" w:hAnsiTheme="minorHAnsi"/>
        </w:rPr>
        <w:t>Guanajuato para el ejercicio fiscal 2016, Acuerdo Administrativo para el cobro de productos para el ejercicio fiscal 20</w:t>
      </w:r>
      <w:r w:rsidR="00D87CE8" w:rsidRPr="00CF3526">
        <w:rPr>
          <w:rFonts w:asciiTheme="minorHAnsi" w:hAnsiTheme="minorHAnsi"/>
        </w:rPr>
        <w:t>16</w:t>
      </w:r>
      <w:r w:rsidRPr="00CF3526">
        <w:rPr>
          <w:rFonts w:asciiTheme="minorHAnsi" w:hAnsiTheme="minorHAnsi"/>
        </w:rPr>
        <w:t>, Las Políticas de Informática y Comunicaciones del Instituto de Acceso a la Información Pública para el Estado de Guanajuato, Los Lineamientos Generales para la Recepción de Garantías a favor del Instituto de Acceso a la Información Pública para el Estado de Guanajuato</w:t>
      </w:r>
      <w:r w:rsidR="00CF3526" w:rsidRPr="00CF3526">
        <w:rPr>
          <w:rFonts w:asciiTheme="minorHAnsi" w:hAnsiTheme="minorHAnsi"/>
        </w:rPr>
        <w:t xml:space="preserve"> para el ejercicio 2016</w:t>
      </w:r>
      <w:r w:rsidRPr="00CF3526">
        <w:rPr>
          <w:rFonts w:asciiTheme="minorHAnsi" w:hAnsiTheme="minorHAnsi"/>
        </w:rPr>
        <w:t>, Lineamientos de Pasivos Laborales, las Condiciones Generales de Trabajo del Instituto de Acceso a la Información Pública para el Estado de Guanajuato, Lineamientos Generales para la Administración de los Recursos Humanos del Instituto de Acceso a la Información Pública para el Estado de Guanajuato</w:t>
      </w:r>
      <w:r w:rsidR="00CF3526" w:rsidRPr="00CF3526">
        <w:rPr>
          <w:rFonts w:asciiTheme="minorHAnsi" w:hAnsiTheme="minorHAnsi"/>
        </w:rPr>
        <w:t xml:space="preserve"> para el ejercicio 2016</w:t>
      </w:r>
      <w:r w:rsidRPr="00CF3526">
        <w:rPr>
          <w:rFonts w:asciiTheme="minorHAnsi" w:hAnsiTheme="minorHAnsi"/>
        </w:rPr>
        <w:t>, así como el Reglamento de la Ley de Contrataciones Públicas para el Estado de Guanajuato para el Instituto de Acceso a la Información Pública para el Estado de Guanajuato.</w:t>
      </w:r>
    </w:p>
    <w:p w:rsidR="001264CE" w:rsidRPr="001264CE" w:rsidRDefault="001264CE" w:rsidP="001264CE">
      <w:pPr>
        <w:spacing w:after="0" w:line="240" w:lineRule="auto"/>
        <w:jc w:val="both"/>
        <w:rPr>
          <w:rFonts w:asciiTheme="minorHAnsi" w:hAnsiTheme="minorHAnsi"/>
          <w:highlight w:val="yellow"/>
        </w:rPr>
      </w:pPr>
    </w:p>
    <w:p w:rsidR="001264CE" w:rsidRPr="001264CE" w:rsidRDefault="001264CE" w:rsidP="001264CE">
      <w:pPr>
        <w:spacing w:after="0" w:line="240" w:lineRule="auto"/>
        <w:jc w:val="both"/>
        <w:rPr>
          <w:rFonts w:asciiTheme="minorHAnsi" w:hAnsiTheme="minorHAnsi"/>
        </w:rPr>
      </w:pPr>
      <w:r w:rsidRPr="001264CE">
        <w:rPr>
          <w:rFonts w:asciiTheme="minorHAnsi" w:hAnsiTheme="minorHAnsi"/>
          <w:b/>
        </w:rPr>
        <w:t>b)</w:t>
      </w:r>
      <w:r w:rsidRPr="001264CE">
        <w:rPr>
          <w:rFonts w:asciiTheme="minorHAnsi" w:hAnsiTheme="minorHAnsi"/>
        </w:rPr>
        <w:t xml:space="preserve"> Medidas de desempeño financiero, metas y alcance:</w:t>
      </w:r>
    </w:p>
    <w:p w:rsidR="001264CE" w:rsidRPr="001264CE" w:rsidRDefault="001264CE" w:rsidP="001264CE">
      <w:pPr>
        <w:jc w:val="both"/>
        <w:rPr>
          <w:rFonts w:asciiTheme="minorHAnsi" w:hAnsiTheme="minorHAnsi"/>
        </w:rPr>
      </w:pPr>
      <w:r w:rsidRPr="001264CE">
        <w:rPr>
          <w:rFonts w:asciiTheme="minorHAnsi" w:hAnsiTheme="minorHAnsi"/>
        </w:rPr>
        <w:t xml:space="preserve">Se lleva el seguimiento mensual de avance físico financiero de las metas estratégicas como lo integran los procesos: P0862 y P0863 donde se registran algunos de los procesos sustantivos del Instituto que tienen que ver con la,  educación y capacitación de la cultura de acceso a la información pública y la protección de datos personales de particulares, y de las metas de Gestión que está integrado por los procesos: G101 Y G0102 que tiene que ver con los aspectos administrativos internos, la difusión; así como los medios de impugnación: Recurso de Revocación y Queja. Se refleja lo programado vs realizado tanto financiero como avance físico: Se muestran los resultados en la siguiente tabla que corresponde al acumulado hasta el mes de </w:t>
      </w:r>
      <w:r w:rsidR="00CF3526">
        <w:rPr>
          <w:rFonts w:asciiTheme="minorHAnsi" w:hAnsiTheme="minorHAnsi"/>
        </w:rPr>
        <w:t>marzo</w:t>
      </w:r>
      <w:r w:rsidRPr="001264CE">
        <w:rPr>
          <w:rFonts w:asciiTheme="minorHAnsi" w:hAnsiTheme="minorHAnsi"/>
        </w:rPr>
        <w:t xml:space="preserve"> del presente año. </w:t>
      </w:r>
    </w:p>
    <w:p w:rsidR="007D1E76" w:rsidRPr="00E74967" w:rsidRDefault="003E15C9" w:rsidP="007D1E76">
      <w:pPr>
        <w:spacing w:after="0" w:line="240" w:lineRule="auto"/>
        <w:jc w:val="both"/>
        <w:rPr>
          <w:rFonts w:cs="Calibri"/>
        </w:rPr>
      </w:pPr>
      <w:r w:rsidRPr="003E15C9">
        <w:rPr>
          <w:noProof/>
          <w:lang w:eastAsia="es-MX"/>
        </w:rPr>
        <w:drawing>
          <wp:inline distT="0" distB="0" distL="0" distR="0">
            <wp:extent cx="5238750" cy="1914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1914525"/>
                    </a:xfrm>
                    <a:prstGeom prst="rect">
                      <a:avLst/>
                    </a:prstGeom>
                    <a:noFill/>
                    <a:ln>
                      <a:noFill/>
                    </a:ln>
                  </pic:spPr>
                </pic:pic>
              </a:graphicData>
            </a:graphic>
          </wp:inline>
        </w:drawing>
      </w:r>
      <w:bookmarkStart w:id="0" w:name="_GoBack"/>
      <w:bookmarkEnd w:id="0"/>
    </w:p>
    <w:p w:rsidR="00E651ED" w:rsidRDefault="00E651ED"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E74967">
        <w:rPr>
          <w:rFonts w:cs="Calibri"/>
        </w:rPr>
        <w:lastRenderedPageBreak/>
        <w:t>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E651ED"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E651ED" w:rsidRPr="00DB0F1F" w:rsidRDefault="007D1E76" w:rsidP="00E651ED">
      <w:pPr>
        <w:spacing w:after="0" w:line="240" w:lineRule="auto"/>
        <w:jc w:val="both"/>
        <w:rPr>
          <w:rFonts w:ascii="Arial monospaced for SAP" w:hAnsi="Arial monospaced for SAP"/>
          <w:sz w:val="20"/>
          <w:szCs w:val="20"/>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E651ED"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r w:rsidR="00E651ED" w:rsidRPr="00E651ED">
        <w:rPr>
          <w:rFonts w:asciiTheme="minorHAnsi" w:hAnsiTheme="minorHAnsi"/>
        </w:rPr>
        <w:t>En este trimestre no se contó con eventos posteriores al cierre.</w:t>
      </w:r>
      <w:r w:rsidR="00E651ED" w:rsidRPr="00E651ED">
        <w:rPr>
          <w:rFonts w:asciiTheme="minorHAnsi" w:hAnsiTheme="minorHAnsi"/>
        </w:rPr>
        <w:tab/>
      </w:r>
    </w:p>
    <w:p w:rsidR="00E651ED" w:rsidRPr="00DB0F1F" w:rsidRDefault="00E651ED" w:rsidP="00E651ED">
      <w:pPr>
        <w:spacing w:after="0" w:line="240" w:lineRule="auto"/>
        <w:jc w:val="both"/>
        <w:rPr>
          <w:rFonts w:ascii="Arial monospaced for SAP" w:hAnsi="Arial monospaced for SAP" w:cs="Calibri"/>
          <w:sz w:val="20"/>
          <w:szCs w:val="20"/>
        </w:rPr>
      </w:pP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E651ED" w:rsidRPr="00E651ED" w:rsidRDefault="00E651ED" w:rsidP="00E651ED">
      <w:pPr>
        <w:spacing w:after="0" w:line="240" w:lineRule="auto"/>
        <w:jc w:val="both"/>
        <w:rPr>
          <w:rFonts w:asciiTheme="minorHAnsi" w:hAnsiTheme="minorHAnsi"/>
        </w:rPr>
      </w:pPr>
      <w:r w:rsidRPr="00E651ED">
        <w:rPr>
          <w:rFonts w:asciiTheme="minorHAnsi" w:hAnsiTheme="minorHAnsi"/>
        </w:rPr>
        <w:t>No existen partes relacionadas que pudieran ejercer influencia significativa sobre la toma de decisiones financieras y operativas.</w:t>
      </w:r>
    </w:p>
    <w:p w:rsidR="007D1E76" w:rsidRPr="00E651ED" w:rsidRDefault="007D1E76" w:rsidP="007D1E76">
      <w:pPr>
        <w:spacing w:after="0" w:line="240" w:lineRule="auto"/>
        <w:jc w:val="both"/>
        <w:rPr>
          <w:rFonts w:asciiTheme="minorHAnsi" w:hAnsiTheme="minorHAnsi"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E651ED" w:rsidRDefault="00E651ED" w:rsidP="007D1E76">
      <w:pPr>
        <w:jc w:val="both"/>
        <w:rPr>
          <w:rFonts w:cs="Calibri"/>
          <w:b/>
        </w:rPr>
      </w:pPr>
    </w:p>
    <w:p w:rsidR="00E651ED" w:rsidRDefault="00E651ED" w:rsidP="007D1E76">
      <w:pPr>
        <w:jc w:val="both"/>
        <w:rPr>
          <w:rFonts w:cs="Calibri"/>
          <w:b/>
        </w:rPr>
      </w:pPr>
    </w:p>
    <w:p w:rsidR="00E651ED" w:rsidRDefault="00E651ED" w:rsidP="007D1E76">
      <w:pPr>
        <w:jc w:val="both"/>
        <w:rPr>
          <w:rFonts w:cs="Calibri"/>
          <w:b/>
        </w:rPr>
      </w:pPr>
    </w:p>
    <w:tbl>
      <w:tblPr>
        <w:tblW w:w="11048" w:type="dxa"/>
        <w:tblCellMar>
          <w:left w:w="70" w:type="dxa"/>
          <w:right w:w="70" w:type="dxa"/>
        </w:tblCellMar>
        <w:tblLook w:val="04A0"/>
      </w:tblPr>
      <w:tblGrid>
        <w:gridCol w:w="9580"/>
        <w:gridCol w:w="2776"/>
      </w:tblGrid>
      <w:tr w:rsidR="00E651ED" w:rsidRPr="00DB0F1F" w:rsidTr="003654F7">
        <w:trPr>
          <w:trHeight w:val="300"/>
        </w:trPr>
        <w:tc>
          <w:tcPr>
            <w:tcW w:w="4416" w:type="dxa"/>
            <w:tcBorders>
              <w:top w:val="nil"/>
              <w:left w:val="nil"/>
              <w:bottom w:val="nil"/>
              <w:right w:val="nil"/>
            </w:tcBorders>
            <w:shd w:val="clear" w:color="000000" w:fill="FFFFFF"/>
            <w:noWrap/>
            <w:vAlign w:val="bottom"/>
            <w:hideMark/>
          </w:tcPr>
          <w:tbl>
            <w:tblPr>
              <w:tblW w:w="9440" w:type="dxa"/>
              <w:tblCellMar>
                <w:left w:w="70" w:type="dxa"/>
                <w:right w:w="70" w:type="dxa"/>
              </w:tblCellMar>
              <w:tblLook w:val="04A0"/>
            </w:tblPr>
            <w:tblGrid>
              <w:gridCol w:w="4260"/>
              <w:gridCol w:w="1200"/>
              <w:gridCol w:w="3980"/>
            </w:tblGrid>
            <w:tr w:rsidR="00E651ED" w:rsidRPr="00DB0F1F" w:rsidTr="003654F7">
              <w:trPr>
                <w:trHeight w:val="300"/>
              </w:trPr>
              <w:tc>
                <w:tcPr>
                  <w:tcW w:w="4260" w:type="dxa"/>
                  <w:tcBorders>
                    <w:top w:val="nil"/>
                    <w:left w:val="nil"/>
                    <w:bottom w:val="nil"/>
                    <w:right w:val="nil"/>
                  </w:tcBorders>
                  <w:shd w:val="clear" w:color="000000" w:fill="FFFFFF"/>
                  <w:noWrap/>
                  <w:vAlign w:val="bottom"/>
                  <w:hideMark/>
                </w:tcPr>
                <w:p w:rsidR="00E651ED" w:rsidRPr="00E1016F" w:rsidRDefault="00E651ED" w:rsidP="003654F7">
                  <w:pPr>
                    <w:spacing w:after="0" w:line="240" w:lineRule="auto"/>
                    <w:jc w:val="center"/>
                    <w:rPr>
                      <w:rFonts w:ascii="Arial monospaced for SAP" w:eastAsia="Times New Roman" w:hAnsi="Arial monospaced for SAP"/>
                      <w:b/>
                      <w:bCs/>
                      <w:sz w:val="18"/>
                      <w:szCs w:val="18"/>
                      <w:u w:val="single"/>
                      <w:lang w:eastAsia="es-MX"/>
                    </w:rPr>
                  </w:pPr>
                  <w:r w:rsidRPr="00E1016F">
                    <w:rPr>
                      <w:rFonts w:ascii="Arial monospaced for SAP" w:eastAsia="Times New Roman" w:hAnsi="Arial monospaced for SAP"/>
                      <w:b/>
                      <w:bCs/>
                      <w:sz w:val="18"/>
                      <w:szCs w:val="18"/>
                      <w:u w:val="single"/>
                      <w:lang w:eastAsia="es-MX"/>
                    </w:rPr>
                    <w:t>C.P CLAUDIA ANGÉLICA DURÁN HERNÁNDEZ</w:t>
                  </w:r>
                </w:p>
              </w:tc>
              <w:tc>
                <w:tcPr>
                  <w:tcW w:w="1200" w:type="dxa"/>
                  <w:tcBorders>
                    <w:top w:val="nil"/>
                    <w:left w:val="nil"/>
                    <w:bottom w:val="nil"/>
                    <w:right w:val="nil"/>
                  </w:tcBorders>
                  <w:shd w:val="clear" w:color="000000" w:fill="FFFFFF"/>
                  <w:noWrap/>
                  <w:vAlign w:val="bottom"/>
                  <w:hideMark/>
                </w:tcPr>
                <w:p w:rsidR="00E651ED" w:rsidRPr="00DB0F1F" w:rsidRDefault="00E651ED" w:rsidP="003654F7">
                  <w:pPr>
                    <w:spacing w:after="0" w:line="240" w:lineRule="auto"/>
                    <w:rPr>
                      <w:rFonts w:ascii="Arial monospaced for SAP" w:eastAsia="Times New Roman" w:hAnsi="Arial monospaced for SAP"/>
                      <w:b/>
                      <w:bCs/>
                      <w:sz w:val="20"/>
                      <w:szCs w:val="20"/>
                      <w:u w:val="single"/>
                      <w:lang w:eastAsia="es-MX"/>
                    </w:rPr>
                  </w:pPr>
                </w:p>
              </w:tc>
              <w:tc>
                <w:tcPr>
                  <w:tcW w:w="3980" w:type="dxa"/>
                  <w:tcBorders>
                    <w:top w:val="nil"/>
                    <w:left w:val="nil"/>
                    <w:bottom w:val="nil"/>
                    <w:right w:val="nil"/>
                  </w:tcBorders>
                  <w:shd w:val="clear" w:color="000000" w:fill="FFFFFF"/>
                  <w:noWrap/>
                  <w:vAlign w:val="bottom"/>
                  <w:hideMark/>
                </w:tcPr>
                <w:p w:rsidR="00E651ED" w:rsidRPr="00E1016F" w:rsidRDefault="00E651ED" w:rsidP="003654F7">
                  <w:pPr>
                    <w:spacing w:after="0" w:line="240" w:lineRule="auto"/>
                    <w:rPr>
                      <w:rFonts w:ascii="Arial monospaced for SAP" w:eastAsia="Times New Roman" w:hAnsi="Arial monospaced for SAP"/>
                      <w:b/>
                      <w:bCs/>
                      <w:sz w:val="18"/>
                      <w:szCs w:val="18"/>
                      <w:u w:val="single"/>
                      <w:lang w:eastAsia="es-MX"/>
                    </w:rPr>
                  </w:pPr>
                  <w:r w:rsidRPr="00E1016F">
                    <w:rPr>
                      <w:rFonts w:ascii="Arial monospaced for SAP" w:eastAsia="Times New Roman" w:hAnsi="Arial monospaced for SAP"/>
                      <w:b/>
                      <w:bCs/>
                      <w:sz w:val="18"/>
                      <w:szCs w:val="18"/>
                      <w:u w:val="single"/>
                      <w:lang w:eastAsia="es-MX"/>
                    </w:rPr>
                    <w:t>LIC. MARIO ALBERTO MORALES REYNOSO</w:t>
                  </w:r>
                </w:p>
              </w:tc>
            </w:tr>
            <w:tr w:rsidR="00E651ED" w:rsidRPr="00DB0F1F" w:rsidTr="003654F7">
              <w:trPr>
                <w:trHeight w:val="300"/>
              </w:trPr>
              <w:tc>
                <w:tcPr>
                  <w:tcW w:w="4260" w:type="dxa"/>
                  <w:tcBorders>
                    <w:top w:val="nil"/>
                    <w:left w:val="nil"/>
                    <w:bottom w:val="nil"/>
                    <w:right w:val="nil"/>
                  </w:tcBorders>
                  <w:shd w:val="clear" w:color="000000" w:fill="FFFFFF"/>
                  <w:noWrap/>
                  <w:vAlign w:val="bottom"/>
                  <w:hideMark/>
                </w:tcPr>
                <w:p w:rsidR="00E651ED" w:rsidRPr="00E1016F" w:rsidRDefault="00E651ED" w:rsidP="003654F7">
                  <w:pPr>
                    <w:spacing w:after="0" w:line="240" w:lineRule="auto"/>
                    <w:jc w:val="center"/>
                    <w:rPr>
                      <w:rFonts w:ascii="Arial monospaced for SAP" w:eastAsia="Times New Roman" w:hAnsi="Arial monospaced for SAP"/>
                      <w:b/>
                      <w:bCs/>
                      <w:sz w:val="18"/>
                      <w:szCs w:val="18"/>
                      <w:lang w:eastAsia="es-MX"/>
                    </w:rPr>
                  </w:pPr>
                  <w:r w:rsidRPr="00E1016F">
                    <w:rPr>
                      <w:rFonts w:ascii="Arial monospaced for SAP" w:eastAsia="Times New Roman" w:hAnsi="Arial monospaced for SAP"/>
                      <w:b/>
                      <w:bCs/>
                      <w:sz w:val="18"/>
                      <w:szCs w:val="18"/>
                      <w:lang w:eastAsia="es-MX"/>
                    </w:rPr>
                    <w:t xml:space="preserve"> DIRECTORA  ADMINISTRATIVA</w:t>
                  </w:r>
                </w:p>
              </w:tc>
              <w:tc>
                <w:tcPr>
                  <w:tcW w:w="1200" w:type="dxa"/>
                  <w:tcBorders>
                    <w:top w:val="nil"/>
                    <w:left w:val="nil"/>
                    <w:bottom w:val="nil"/>
                    <w:right w:val="nil"/>
                  </w:tcBorders>
                  <w:shd w:val="clear" w:color="000000" w:fill="FFFFFF"/>
                  <w:noWrap/>
                  <w:vAlign w:val="bottom"/>
                  <w:hideMark/>
                </w:tcPr>
                <w:p w:rsidR="00E651ED" w:rsidRPr="00DB0F1F" w:rsidRDefault="00E651ED" w:rsidP="003654F7">
                  <w:pPr>
                    <w:spacing w:after="0" w:line="240" w:lineRule="auto"/>
                    <w:rPr>
                      <w:rFonts w:ascii="Arial monospaced for SAP" w:eastAsia="Times New Roman" w:hAnsi="Arial monospaced for SAP"/>
                      <w:b/>
                      <w:bCs/>
                      <w:sz w:val="20"/>
                      <w:szCs w:val="20"/>
                      <w:lang w:eastAsia="es-MX"/>
                    </w:rPr>
                  </w:pPr>
                  <w:r w:rsidRPr="00DB0F1F">
                    <w:rPr>
                      <w:rFonts w:ascii="Arial monospaced for SAP" w:eastAsia="Times New Roman" w:hAnsi="Arial monospaced for SAP"/>
                      <w:b/>
                      <w:bCs/>
                      <w:sz w:val="20"/>
                      <w:szCs w:val="20"/>
                      <w:lang w:eastAsia="es-MX"/>
                    </w:rPr>
                    <w:t> </w:t>
                  </w:r>
                </w:p>
              </w:tc>
              <w:tc>
                <w:tcPr>
                  <w:tcW w:w="3980" w:type="dxa"/>
                  <w:tcBorders>
                    <w:top w:val="nil"/>
                    <w:left w:val="nil"/>
                    <w:bottom w:val="nil"/>
                    <w:right w:val="nil"/>
                  </w:tcBorders>
                  <w:shd w:val="clear" w:color="000000" w:fill="FFFFFF"/>
                  <w:noWrap/>
                  <w:vAlign w:val="bottom"/>
                  <w:hideMark/>
                </w:tcPr>
                <w:p w:rsidR="00E651ED" w:rsidRPr="00E1016F" w:rsidRDefault="00E651ED" w:rsidP="003654F7">
                  <w:pPr>
                    <w:spacing w:after="0" w:line="240" w:lineRule="auto"/>
                    <w:rPr>
                      <w:rFonts w:ascii="Arial monospaced for SAP" w:eastAsia="Times New Roman" w:hAnsi="Arial monospaced for SAP"/>
                      <w:b/>
                      <w:bCs/>
                      <w:sz w:val="18"/>
                      <w:szCs w:val="18"/>
                      <w:lang w:eastAsia="es-MX"/>
                    </w:rPr>
                  </w:pPr>
                  <w:r>
                    <w:rPr>
                      <w:rFonts w:ascii="Arial monospaced for SAP" w:eastAsia="Times New Roman" w:hAnsi="Arial monospaced for SAP"/>
                      <w:b/>
                      <w:bCs/>
                      <w:sz w:val="18"/>
                      <w:szCs w:val="18"/>
                      <w:lang w:eastAsia="es-MX"/>
                    </w:rPr>
                    <w:t xml:space="preserve">PRESIDENTE COMISIONADO DEL </w:t>
                  </w:r>
                  <w:r w:rsidRPr="00E1016F">
                    <w:rPr>
                      <w:rFonts w:ascii="Arial monospaced for SAP" w:eastAsia="Times New Roman" w:hAnsi="Arial monospaced for SAP"/>
                      <w:b/>
                      <w:bCs/>
                      <w:sz w:val="18"/>
                      <w:szCs w:val="18"/>
                      <w:lang w:eastAsia="es-MX"/>
                    </w:rPr>
                    <w:t>IAIG</w:t>
                  </w:r>
                </w:p>
              </w:tc>
            </w:tr>
          </w:tbl>
          <w:p w:rsidR="00E651ED" w:rsidRPr="00DB0F1F" w:rsidRDefault="00E651ED" w:rsidP="003654F7">
            <w:pPr>
              <w:spacing w:after="0" w:line="240" w:lineRule="auto"/>
              <w:rPr>
                <w:rFonts w:ascii="Arial monospaced for SAP" w:eastAsia="Times New Roman" w:hAnsi="Arial monospaced for SAP"/>
                <w:b/>
                <w:bCs/>
                <w:sz w:val="20"/>
                <w:szCs w:val="20"/>
                <w:u w:val="single"/>
                <w:lang w:eastAsia="es-MX"/>
              </w:rPr>
            </w:pPr>
          </w:p>
        </w:tc>
        <w:tc>
          <w:tcPr>
            <w:tcW w:w="2776" w:type="dxa"/>
            <w:tcBorders>
              <w:top w:val="nil"/>
              <w:left w:val="nil"/>
              <w:bottom w:val="nil"/>
              <w:right w:val="nil"/>
            </w:tcBorders>
            <w:shd w:val="clear" w:color="000000" w:fill="FFFFFF"/>
            <w:noWrap/>
            <w:vAlign w:val="bottom"/>
            <w:hideMark/>
          </w:tcPr>
          <w:p w:rsidR="00E651ED" w:rsidRPr="00DB0F1F" w:rsidRDefault="00E651ED" w:rsidP="003654F7">
            <w:pPr>
              <w:spacing w:after="0" w:line="240" w:lineRule="auto"/>
              <w:rPr>
                <w:rFonts w:ascii="Arial monospaced for SAP" w:eastAsia="Times New Roman" w:hAnsi="Arial monospaced for SAP"/>
                <w:color w:val="000000"/>
                <w:sz w:val="20"/>
                <w:szCs w:val="20"/>
                <w:lang w:eastAsia="es-MX"/>
              </w:rPr>
            </w:pPr>
          </w:p>
        </w:tc>
      </w:tr>
    </w:tbl>
    <w:p w:rsidR="00E651ED" w:rsidRPr="00E74967" w:rsidRDefault="00E651ED" w:rsidP="007D1E76">
      <w:pPr>
        <w:jc w:val="both"/>
        <w:rPr>
          <w:rFonts w:cs="Calibri"/>
        </w:rPr>
      </w:pPr>
    </w:p>
    <w:sectPr w:rsidR="00E651ED"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18" w:rsidRDefault="00F94818" w:rsidP="00E00323">
      <w:pPr>
        <w:spacing w:after="0" w:line="240" w:lineRule="auto"/>
      </w:pPr>
      <w:r>
        <w:separator/>
      </w:r>
    </w:p>
  </w:endnote>
  <w:endnote w:type="continuationSeparator" w:id="1">
    <w:p w:rsidR="00F94818" w:rsidRDefault="00F94818"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18" w:rsidRDefault="00F94818" w:rsidP="00E00323">
      <w:pPr>
        <w:spacing w:after="0" w:line="240" w:lineRule="auto"/>
      </w:pPr>
      <w:r>
        <w:separator/>
      </w:r>
    </w:p>
  </w:footnote>
  <w:footnote w:type="continuationSeparator" w:id="1">
    <w:p w:rsidR="00F94818" w:rsidRDefault="00F94818"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960EA2" w:rsidP="00154BA3">
    <w:pPr>
      <w:pStyle w:val="Encabezado"/>
      <w:jc w:val="center"/>
    </w:pPr>
    <w:r>
      <w:t>INSTITUTO DE ACCESO A LA INFORMACIÓN PÚBLICA PARA 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7531"/>
    <w:multiLevelType w:val="hybridMultilevel"/>
    <w:tmpl w:val="A5C6059C"/>
    <w:lvl w:ilvl="0" w:tplc="0C0A0013">
      <w:start w:val="1"/>
      <w:numFmt w:val="upperRoman"/>
      <w:lvlText w:val="%1."/>
      <w:lvlJc w:val="right"/>
      <w:pPr>
        <w:tabs>
          <w:tab w:val="num" w:pos="181"/>
        </w:tabs>
        <w:ind w:left="181" w:hanging="180"/>
      </w:pPr>
    </w:lvl>
    <w:lvl w:ilvl="1" w:tplc="0C0A0019" w:tentative="1">
      <w:start w:val="1"/>
      <w:numFmt w:val="lowerLetter"/>
      <w:lvlText w:val="%2."/>
      <w:lvlJc w:val="left"/>
      <w:pPr>
        <w:tabs>
          <w:tab w:val="num" w:pos="901"/>
        </w:tabs>
        <w:ind w:left="901" w:hanging="360"/>
      </w:pPr>
    </w:lvl>
    <w:lvl w:ilvl="2" w:tplc="0C0A001B" w:tentative="1">
      <w:start w:val="1"/>
      <w:numFmt w:val="lowerRoman"/>
      <w:lvlText w:val="%3."/>
      <w:lvlJc w:val="right"/>
      <w:pPr>
        <w:tabs>
          <w:tab w:val="num" w:pos="1621"/>
        </w:tabs>
        <w:ind w:left="1621" w:hanging="180"/>
      </w:pPr>
    </w:lvl>
    <w:lvl w:ilvl="3" w:tplc="0C0A000F" w:tentative="1">
      <w:start w:val="1"/>
      <w:numFmt w:val="decimal"/>
      <w:lvlText w:val="%4."/>
      <w:lvlJc w:val="left"/>
      <w:pPr>
        <w:tabs>
          <w:tab w:val="num" w:pos="2341"/>
        </w:tabs>
        <w:ind w:left="2341" w:hanging="360"/>
      </w:pPr>
    </w:lvl>
    <w:lvl w:ilvl="4" w:tplc="0C0A0019" w:tentative="1">
      <w:start w:val="1"/>
      <w:numFmt w:val="lowerLetter"/>
      <w:lvlText w:val="%5."/>
      <w:lvlJc w:val="left"/>
      <w:pPr>
        <w:tabs>
          <w:tab w:val="num" w:pos="3061"/>
        </w:tabs>
        <w:ind w:left="3061" w:hanging="360"/>
      </w:pPr>
    </w:lvl>
    <w:lvl w:ilvl="5" w:tplc="0C0A001B" w:tentative="1">
      <w:start w:val="1"/>
      <w:numFmt w:val="lowerRoman"/>
      <w:lvlText w:val="%6."/>
      <w:lvlJc w:val="right"/>
      <w:pPr>
        <w:tabs>
          <w:tab w:val="num" w:pos="3781"/>
        </w:tabs>
        <w:ind w:left="3781" w:hanging="180"/>
      </w:pPr>
    </w:lvl>
    <w:lvl w:ilvl="6" w:tplc="0C0A000F" w:tentative="1">
      <w:start w:val="1"/>
      <w:numFmt w:val="decimal"/>
      <w:lvlText w:val="%7."/>
      <w:lvlJc w:val="left"/>
      <w:pPr>
        <w:tabs>
          <w:tab w:val="num" w:pos="4501"/>
        </w:tabs>
        <w:ind w:left="4501" w:hanging="360"/>
      </w:pPr>
    </w:lvl>
    <w:lvl w:ilvl="7" w:tplc="0C0A0019" w:tentative="1">
      <w:start w:val="1"/>
      <w:numFmt w:val="lowerLetter"/>
      <w:lvlText w:val="%8."/>
      <w:lvlJc w:val="left"/>
      <w:pPr>
        <w:tabs>
          <w:tab w:val="num" w:pos="5221"/>
        </w:tabs>
        <w:ind w:left="5221" w:hanging="360"/>
      </w:pPr>
    </w:lvl>
    <w:lvl w:ilvl="8" w:tplc="0C0A001B" w:tentative="1">
      <w:start w:val="1"/>
      <w:numFmt w:val="lowerRoman"/>
      <w:lvlText w:val="%9."/>
      <w:lvlJc w:val="right"/>
      <w:pPr>
        <w:tabs>
          <w:tab w:val="num" w:pos="5941"/>
        </w:tabs>
        <w:ind w:left="5941" w:hanging="180"/>
      </w:pPr>
    </w:lvl>
  </w:abstractNum>
  <w:abstractNum w:abstractNumId="1">
    <w:nsid w:val="2A7D2E50"/>
    <w:multiLevelType w:val="hybridMultilevel"/>
    <w:tmpl w:val="6764DAAE"/>
    <w:lvl w:ilvl="0" w:tplc="9C2A65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7"/>
  </w:hdrShapeDefaults>
  <w:footnotePr>
    <w:footnote w:id="0"/>
    <w:footnote w:id="1"/>
  </w:footnotePr>
  <w:endnotePr>
    <w:endnote w:id="0"/>
    <w:endnote w:id="1"/>
  </w:endnotePr>
  <w:compat/>
  <w:rsids>
    <w:rsidRoot w:val="007D1E76"/>
    <w:rsid w:val="000A3ED0"/>
    <w:rsid w:val="000A6CAA"/>
    <w:rsid w:val="000B7810"/>
    <w:rsid w:val="000E4772"/>
    <w:rsid w:val="001264CE"/>
    <w:rsid w:val="00154BA3"/>
    <w:rsid w:val="001973A2"/>
    <w:rsid w:val="001C75F2"/>
    <w:rsid w:val="001D2063"/>
    <w:rsid w:val="001E2AD7"/>
    <w:rsid w:val="00225603"/>
    <w:rsid w:val="002E0D8B"/>
    <w:rsid w:val="002F30BB"/>
    <w:rsid w:val="003E15C9"/>
    <w:rsid w:val="004C0E86"/>
    <w:rsid w:val="005D3E43"/>
    <w:rsid w:val="005E231E"/>
    <w:rsid w:val="00657009"/>
    <w:rsid w:val="00681C79"/>
    <w:rsid w:val="006B1D34"/>
    <w:rsid w:val="007714AB"/>
    <w:rsid w:val="00772C92"/>
    <w:rsid w:val="007D1E76"/>
    <w:rsid w:val="0080798C"/>
    <w:rsid w:val="008E076C"/>
    <w:rsid w:val="00960EA2"/>
    <w:rsid w:val="00A50162"/>
    <w:rsid w:val="00B327B3"/>
    <w:rsid w:val="00CD0A3B"/>
    <w:rsid w:val="00CE7D74"/>
    <w:rsid w:val="00CF3526"/>
    <w:rsid w:val="00D34304"/>
    <w:rsid w:val="00D87CE8"/>
    <w:rsid w:val="00E00323"/>
    <w:rsid w:val="00E651ED"/>
    <w:rsid w:val="00E74967"/>
    <w:rsid w:val="00EA7915"/>
    <w:rsid w:val="00F63768"/>
    <w:rsid w:val="00F9481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3165</Words>
  <Characters>17408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Financieros</cp:lastModifiedBy>
  <cp:revision>15</cp:revision>
  <dcterms:created xsi:type="dcterms:W3CDTF">2016-03-31T23:14:00Z</dcterms:created>
  <dcterms:modified xsi:type="dcterms:W3CDTF">2016-04-18T18:57:00Z</dcterms:modified>
</cp:coreProperties>
</file>